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0F2F" w:rsidRPr="000A64D8" w:rsidRDefault="000C0F2F" w:rsidP="000C0F2F">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AB51D3">
        <w:rPr>
          <w:rFonts w:ascii="Arial" w:hAnsi="Arial" w:cs="Arial"/>
          <w:b/>
          <w:sz w:val="24"/>
          <w:szCs w:val="24"/>
        </w:rPr>
        <w:t>3</w:t>
      </w:r>
      <w:r w:rsidRPr="000A64D8">
        <w:rPr>
          <w:rFonts w:ascii="Arial" w:hAnsi="Arial" w:cs="Arial"/>
          <w:b/>
          <w:sz w:val="24"/>
          <w:szCs w:val="24"/>
        </w:rPr>
        <w:t xml:space="preserve"> </w:t>
      </w:r>
      <w:r w:rsidRPr="000A64D8">
        <w:rPr>
          <w:rFonts w:ascii="Arial" w:hAnsi="Arial" w:cs="Arial"/>
          <w:b/>
          <w:sz w:val="24"/>
          <w:szCs w:val="24"/>
        </w:rPr>
        <w:tab/>
      </w:r>
      <w:r w:rsidRPr="00557A2C">
        <w:rPr>
          <w:rFonts w:ascii="Arial" w:hAnsi="Arial" w:cs="Arial"/>
          <w:b/>
          <w:sz w:val="24"/>
          <w:szCs w:val="24"/>
        </w:rPr>
        <w:t>R1-</w:t>
      </w:r>
      <w:r w:rsidRPr="006B1B35">
        <w:t xml:space="preserve"> </w:t>
      </w:r>
      <w:r w:rsidRPr="006B1B35">
        <w:rPr>
          <w:rFonts w:ascii="Arial" w:hAnsi="Arial" w:cs="Arial"/>
          <w:b/>
          <w:sz w:val="24"/>
          <w:szCs w:val="24"/>
        </w:rPr>
        <w:t>15</w:t>
      </w:r>
      <w:r w:rsidR="00AB51D3">
        <w:rPr>
          <w:rFonts w:ascii="Arial" w:hAnsi="Arial" w:cs="Arial"/>
          <w:b/>
          <w:sz w:val="24"/>
          <w:szCs w:val="24"/>
        </w:rPr>
        <w:t>7054</w:t>
      </w:r>
    </w:p>
    <w:p w:rsidR="000C0F2F" w:rsidRPr="00FD021C" w:rsidRDefault="000C0F2F" w:rsidP="000C0F2F">
      <w:pPr>
        <w:tabs>
          <w:tab w:val="right" w:pos="9630"/>
        </w:tabs>
        <w:spacing w:after="0"/>
        <w:jc w:val="both"/>
        <w:rPr>
          <w:rFonts w:ascii="Arial" w:hAnsi="Arial" w:cs="Arial"/>
          <w:b/>
          <w:sz w:val="24"/>
          <w:szCs w:val="24"/>
        </w:rPr>
      </w:pPr>
      <w:r>
        <w:rPr>
          <w:rFonts w:ascii="Arial" w:hAnsi="Arial" w:cs="Arial"/>
          <w:b/>
          <w:sz w:val="24"/>
          <w:szCs w:val="24"/>
        </w:rPr>
        <w:t>15</w:t>
      </w:r>
      <w:r w:rsidRPr="00792605">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22</w:t>
      </w:r>
      <w:r w:rsidRPr="003732BA">
        <w:rPr>
          <w:rFonts w:ascii="Arial" w:hAnsi="Arial" w:cs="Arial"/>
          <w:b/>
          <w:sz w:val="24"/>
          <w:szCs w:val="24"/>
          <w:vertAlign w:val="superscript"/>
        </w:rPr>
        <w:t>th</w:t>
      </w:r>
      <w:r>
        <w:rPr>
          <w:rFonts w:ascii="Arial" w:hAnsi="Arial" w:cs="Arial"/>
          <w:b/>
          <w:sz w:val="24"/>
          <w:szCs w:val="24"/>
        </w:rPr>
        <w:t xml:space="preserve"> November</w:t>
      </w:r>
      <w:r w:rsidRPr="003732BA">
        <w:rPr>
          <w:rFonts w:ascii="Arial" w:hAnsi="Arial" w:cs="Arial"/>
          <w:b/>
          <w:sz w:val="24"/>
          <w:szCs w:val="24"/>
        </w:rPr>
        <w:t xml:space="preserve"> 2015</w:t>
      </w:r>
    </w:p>
    <w:p w:rsidR="000C0F2F" w:rsidRPr="00FD021C" w:rsidRDefault="000C0F2F" w:rsidP="000C0F2F">
      <w:pPr>
        <w:spacing w:after="0"/>
        <w:jc w:val="both"/>
        <w:rPr>
          <w:rFonts w:ascii="Arial" w:hAnsi="Arial" w:cs="Arial"/>
          <w:b/>
          <w:sz w:val="24"/>
          <w:szCs w:val="24"/>
        </w:rPr>
      </w:pPr>
      <w:r>
        <w:rPr>
          <w:rFonts w:ascii="Arial" w:hAnsi="Arial" w:cs="Arial"/>
          <w:b/>
          <w:sz w:val="24"/>
          <w:szCs w:val="24"/>
        </w:rPr>
        <w:t>Anaheim, USA</w:t>
      </w:r>
    </w:p>
    <w:p w:rsidR="000C0F2F" w:rsidRPr="00CC27F5" w:rsidRDefault="000C0F2F" w:rsidP="000C0F2F">
      <w:pPr>
        <w:pStyle w:val="Header"/>
        <w:tabs>
          <w:tab w:val="right" w:pos="9639"/>
        </w:tabs>
        <w:jc w:val="both"/>
        <w:rPr>
          <w:i/>
          <w:sz w:val="32"/>
          <w:lang w:val="en-GB"/>
        </w:rPr>
      </w:pPr>
      <w:r w:rsidRPr="00CC27F5">
        <w:rPr>
          <w:sz w:val="24"/>
          <w:lang w:val="en-GB"/>
        </w:rPr>
        <w:tab/>
      </w:r>
    </w:p>
    <w:p w:rsidR="000C0F2F" w:rsidRPr="00CC27F5" w:rsidRDefault="000C0F2F" w:rsidP="000C0F2F">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Pr>
          <w:rFonts w:ascii="Arial" w:hAnsi="Arial"/>
          <w:sz w:val="24"/>
        </w:rPr>
        <w:t>6.2.4</w:t>
      </w:r>
      <w:r w:rsidRPr="007064F7">
        <w:rPr>
          <w:rFonts w:ascii="Arial" w:hAnsi="Arial"/>
          <w:sz w:val="24"/>
        </w:rPr>
        <w:t>.</w:t>
      </w:r>
      <w:r>
        <w:rPr>
          <w:rFonts w:ascii="Arial" w:hAnsi="Arial"/>
          <w:sz w:val="24"/>
        </w:rPr>
        <w:t>2.2</w:t>
      </w:r>
    </w:p>
    <w:p w:rsidR="000C0F2F" w:rsidRPr="00CC27F5" w:rsidRDefault="000C0F2F" w:rsidP="000C0F2F">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Pr>
          <w:rFonts w:ascii="Arial" w:hAnsi="Arial"/>
          <w:sz w:val="24"/>
        </w:rPr>
        <w:t>Inc.</w:t>
      </w:r>
    </w:p>
    <w:p w:rsidR="000C0F2F" w:rsidRPr="0082532D" w:rsidRDefault="000C0F2F" w:rsidP="000C0F2F">
      <w:pPr>
        <w:ind w:left="1988" w:hanging="1988"/>
        <w:jc w:val="both"/>
        <w:rPr>
          <w:rFonts w:ascii="Arial" w:hAnsi="Arial"/>
          <w:sz w:val="24"/>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Pr="0082532D">
        <w:rPr>
          <w:rFonts w:ascii="Arial" w:hAnsi="Arial"/>
          <w:sz w:val="24"/>
        </w:rPr>
        <w:t>Details on increasing number of combs for SRS</w:t>
      </w:r>
    </w:p>
    <w:p w:rsidR="000C0F2F" w:rsidRPr="00CC27F5" w:rsidRDefault="000C0F2F" w:rsidP="000C0F2F">
      <w:pPr>
        <w:tabs>
          <w:tab w:val="left" w:pos="1985"/>
        </w:tabs>
        <w:ind w:right="-441"/>
        <w:jc w:val="both"/>
        <w:rPr>
          <w:rFonts w:ascii="Arial" w:hAnsi="Arial"/>
          <w:sz w:val="24"/>
          <w:lang w:eastAsia="zh-CN"/>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hint="eastAsia"/>
          <w:sz w:val="24"/>
          <w:lang w:eastAsia="zh-CN"/>
        </w:rPr>
        <w:t>/Decision</w:t>
      </w:r>
    </w:p>
    <w:p w:rsidR="000C0F2F" w:rsidRDefault="000C0F2F" w:rsidP="000C0F2F">
      <w:pPr>
        <w:pStyle w:val="Heading1"/>
        <w:numPr>
          <w:ilvl w:val="0"/>
          <w:numId w:val="1"/>
        </w:numPr>
        <w:tabs>
          <w:tab w:val="clear" w:pos="1140"/>
          <w:tab w:val="num" w:pos="720"/>
        </w:tabs>
        <w:ind w:left="720" w:hanging="720"/>
        <w:jc w:val="both"/>
      </w:pPr>
      <w:r>
        <w:t>Introduction</w:t>
      </w:r>
    </w:p>
    <w:p w:rsidR="000C0F2F" w:rsidRPr="002F1314" w:rsidRDefault="000C0F2F" w:rsidP="000C0F2F">
      <w:pPr>
        <w:pStyle w:val="LGTdoc"/>
        <w:spacing w:afterLines="0" w:after="120" w:line="240" w:lineRule="auto"/>
        <w:rPr>
          <w:szCs w:val="22"/>
        </w:rPr>
      </w:pPr>
      <w:r w:rsidRPr="002F1314">
        <w:rPr>
          <w:szCs w:val="22"/>
        </w:rPr>
        <w:t xml:space="preserve">In last </w:t>
      </w:r>
      <w:r>
        <w:rPr>
          <w:szCs w:val="22"/>
        </w:rPr>
        <w:t xml:space="preserve">RAN1#82bis </w:t>
      </w:r>
      <w:r w:rsidRPr="002F1314">
        <w:rPr>
          <w:szCs w:val="22"/>
        </w:rPr>
        <w:t xml:space="preserve">meeting, the following were agreed </w:t>
      </w:r>
      <w:r>
        <w:rPr>
          <w:szCs w:val="22"/>
        </w:rPr>
        <w:t xml:space="preserve">for </w:t>
      </w:r>
      <w:r w:rsidRPr="002F1314">
        <w:rPr>
          <w:szCs w:val="22"/>
        </w:rPr>
        <w:t xml:space="preserve">SRS </w:t>
      </w:r>
      <w:r>
        <w:rPr>
          <w:szCs w:val="22"/>
        </w:rPr>
        <w:t xml:space="preserve">capacity </w:t>
      </w:r>
      <w:r w:rsidRPr="002F1314">
        <w:rPr>
          <w:szCs w:val="22"/>
        </w:rPr>
        <w:t>enhancement</w:t>
      </w:r>
      <w:r>
        <w:rPr>
          <w:szCs w:val="22"/>
        </w:rPr>
        <w:t>s</w:t>
      </w:r>
      <w:r w:rsidRPr="002F1314">
        <w:rPr>
          <w:szCs w:val="22"/>
        </w:rPr>
        <w:t xml:space="preserve"> to </w:t>
      </w:r>
      <w:r>
        <w:rPr>
          <w:szCs w:val="22"/>
        </w:rPr>
        <w:t>fulfil EB/FD-MIMO requirements [1]</w:t>
      </w:r>
      <w:r w:rsidRPr="002F1314">
        <w:rPr>
          <w:szCs w:val="22"/>
        </w:rPr>
        <w:t>.</w:t>
      </w:r>
    </w:p>
    <w:p w:rsidR="000C0F2F" w:rsidRPr="0070053E" w:rsidRDefault="000C0F2F" w:rsidP="000C0F2F">
      <w:pPr>
        <w:rPr>
          <w:rFonts w:eastAsia="MS Mincho"/>
          <w:b/>
          <w:sz w:val="22"/>
          <w:szCs w:val="22"/>
          <w:highlight w:val="green"/>
          <w:u w:val="single"/>
          <w:lang w:val="en-US" w:eastAsia="ja-JP"/>
        </w:rPr>
      </w:pPr>
      <w:r w:rsidRPr="0070053E">
        <w:rPr>
          <w:rFonts w:eastAsia="MS Mincho"/>
          <w:b/>
          <w:sz w:val="22"/>
          <w:szCs w:val="22"/>
          <w:highlight w:val="green"/>
          <w:u w:val="single"/>
          <w:lang w:val="en-US" w:eastAsia="ja-JP"/>
        </w:rPr>
        <w:t xml:space="preserve">Agreement: </w:t>
      </w:r>
    </w:p>
    <w:p w:rsidR="000C0F2F" w:rsidRPr="0070053E" w:rsidRDefault="000C0F2F" w:rsidP="003364AC">
      <w:pPr>
        <w:numPr>
          <w:ilvl w:val="0"/>
          <w:numId w:val="3"/>
        </w:numPr>
        <w:overflowPunct/>
        <w:autoSpaceDE/>
        <w:autoSpaceDN/>
        <w:adjustRightInd/>
        <w:spacing w:after="120"/>
        <w:ind w:left="360"/>
        <w:textAlignment w:val="auto"/>
        <w:rPr>
          <w:rFonts w:eastAsia="MS Mincho"/>
          <w:sz w:val="22"/>
          <w:szCs w:val="22"/>
          <w:lang w:val="en-US" w:eastAsia="ja-JP"/>
        </w:rPr>
      </w:pPr>
      <w:r w:rsidRPr="0070053E">
        <w:rPr>
          <w:rFonts w:eastAsia="MS Mincho"/>
          <w:sz w:val="22"/>
          <w:szCs w:val="22"/>
          <w:lang w:val="en-US" w:eastAsia="ja-JP"/>
        </w:rPr>
        <w:t xml:space="preserve">Confirm the working assumption to increase number of combs to 4 with maximum number of CS=12 </w:t>
      </w:r>
    </w:p>
    <w:p w:rsidR="000C0F2F" w:rsidRPr="0070053E" w:rsidRDefault="000C0F2F" w:rsidP="003364AC">
      <w:pPr>
        <w:numPr>
          <w:ilvl w:val="1"/>
          <w:numId w:val="3"/>
        </w:numPr>
        <w:overflowPunct/>
        <w:autoSpaceDE/>
        <w:autoSpaceDN/>
        <w:adjustRightInd/>
        <w:spacing w:after="120"/>
        <w:ind w:left="1080"/>
        <w:textAlignment w:val="auto"/>
        <w:rPr>
          <w:rFonts w:eastAsia="MS Mincho"/>
          <w:sz w:val="22"/>
          <w:szCs w:val="22"/>
          <w:lang w:val="en-US" w:eastAsia="ja-JP"/>
        </w:rPr>
      </w:pPr>
      <w:r w:rsidRPr="0070053E">
        <w:rPr>
          <w:rFonts w:eastAsia="MS Mincho"/>
          <w:sz w:val="22"/>
          <w:szCs w:val="22"/>
          <w:lang w:eastAsia="ja-JP"/>
        </w:rPr>
        <w:t>A new RRC signalling is introduced to enable RPF4</w:t>
      </w:r>
    </w:p>
    <w:p w:rsidR="000C0F2F" w:rsidRPr="0070053E" w:rsidRDefault="000C0F2F" w:rsidP="003364AC">
      <w:pPr>
        <w:numPr>
          <w:ilvl w:val="1"/>
          <w:numId w:val="4"/>
        </w:numPr>
        <w:overflowPunct/>
        <w:autoSpaceDE/>
        <w:autoSpaceDN/>
        <w:adjustRightInd/>
        <w:spacing w:after="120"/>
        <w:ind w:left="1800"/>
        <w:textAlignment w:val="auto"/>
        <w:rPr>
          <w:rFonts w:eastAsia="MS Mincho"/>
          <w:sz w:val="22"/>
          <w:szCs w:val="22"/>
          <w:lang w:val="en-US" w:eastAsia="ja-JP"/>
        </w:rPr>
      </w:pPr>
      <w:r w:rsidRPr="0070053E">
        <w:rPr>
          <w:rFonts w:eastAsia="MS Mincho"/>
          <w:sz w:val="22"/>
          <w:szCs w:val="22"/>
          <w:lang w:val="en-US" w:eastAsia="ja-JP"/>
        </w:rPr>
        <w:t xml:space="preserve">The UE-specific parameter </w:t>
      </w:r>
      <w:proofErr w:type="spellStart"/>
      <w:r w:rsidRPr="0070053E">
        <w:rPr>
          <w:rFonts w:eastAsia="MS Mincho"/>
          <w:sz w:val="22"/>
          <w:szCs w:val="22"/>
          <w:lang w:val="en-US" w:eastAsia="ja-JP"/>
        </w:rPr>
        <w:t>transmissionComb</w:t>
      </w:r>
      <w:proofErr w:type="spellEnd"/>
      <w:r w:rsidRPr="0070053E">
        <w:rPr>
          <w:rFonts w:eastAsia="MS Mincho"/>
          <w:sz w:val="22"/>
          <w:szCs w:val="22"/>
          <w:lang w:val="en-US" w:eastAsia="ja-JP"/>
        </w:rPr>
        <w:t xml:space="preserve"> or </w:t>
      </w:r>
      <w:proofErr w:type="spellStart"/>
      <w:r w:rsidRPr="0070053E">
        <w:rPr>
          <w:rFonts w:eastAsia="MS Mincho"/>
          <w:sz w:val="22"/>
          <w:szCs w:val="22"/>
          <w:lang w:val="en-US" w:eastAsia="ja-JP"/>
        </w:rPr>
        <w:t>transmissionComb-ap</w:t>
      </w:r>
      <w:proofErr w:type="spellEnd"/>
      <w:r w:rsidRPr="0070053E">
        <w:rPr>
          <w:rFonts w:eastAsia="MS Mincho"/>
          <w:sz w:val="22"/>
          <w:szCs w:val="22"/>
          <w:lang w:val="en-US" w:eastAsia="ja-JP"/>
        </w:rPr>
        <w:t xml:space="preserve"> is extended to two bits to indicate 4 indexes of comb. </w:t>
      </w:r>
    </w:p>
    <w:p w:rsidR="000C0F2F" w:rsidRPr="0070053E" w:rsidRDefault="000C0F2F" w:rsidP="003364AC">
      <w:pPr>
        <w:numPr>
          <w:ilvl w:val="1"/>
          <w:numId w:val="4"/>
        </w:numPr>
        <w:overflowPunct/>
        <w:autoSpaceDE/>
        <w:autoSpaceDN/>
        <w:adjustRightInd/>
        <w:spacing w:after="120"/>
        <w:ind w:left="1800"/>
        <w:textAlignment w:val="auto"/>
        <w:rPr>
          <w:rFonts w:eastAsia="MS Mincho"/>
          <w:sz w:val="22"/>
          <w:szCs w:val="22"/>
          <w:lang w:val="en-US" w:eastAsia="ja-JP"/>
        </w:rPr>
      </w:pPr>
      <w:r w:rsidRPr="0070053E">
        <w:rPr>
          <w:rFonts w:eastAsia="MS Mincho"/>
          <w:sz w:val="22"/>
          <w:szCs w:val="22"/>
          <w:lang w:val="en-US" w:eastAsia="ja-JP"/>
        </w:rPr>
        <w:t xml:space="preserve">One additional </w:t>
      </w:r>
      <w:proofErr w:type="spellStart"/>
      <w:r w:rsidRPr="0070053E">
        <w:rPr>
          <w:rFonts w:eastAsia="MS Mincho"/>
          <w:sz w:val="22"/>
          <w:szCs w:val="22"/>
          <w:lang w:val="en-US" w:eastAsia="ja-JP"/>
        </w:rPr>
        <w:t>signalling</w:t>
      </w:r>
      <w:proofErr w:type="spellEnd"/>
      <w:r w:rsidRPr="0070053E">
        <w:rPr>
          <w:rFonts w:eastAsia="MS Mincho"/>
          <w:sz w:val="22"/>
          <w:szCs w:val="22"/>
          <w:lang w:val="en-US" w:eastAsia="ja-JP"/>
        </w:rPr>
        <w:t xml:space="preserve"> bit is added to indicate 12 cyclic shifts together with the existing 3 bits</w:t>
      </w:r>
    </w:p>
    <w:p w:rsidR="000C0F2F" w:rsidRPr="0070053E" w:rsidRDefault="000C0F2F" w:rsidP="003364AC">
      <w:pPr>
        <w:numPr>
          <w:ilvl w:val="0"/>
          <w:numId w:val="4"/>
        </w:numPr>
        <w:overflowPunct/>
        <w:autoSpaceDE/>
        <w:autoSpaceDN/>
        <w:adjustRightInd/>
        <w:spacing w:after="120"/>
        <w:ind w:left="1080"/>
        <w:textAlignment w:val="auto"/>
        <w:rPr>
          <w:rFonts w:eastAsia="MS Mincho"/>
          <w:sz w:val="22"/>
          <w:szCs w:val="22"/>
          <w:lang w:val="en-US" w:eastAsia="ja-JP"/>
        </w:rPr>
      </w:pPr>
      <w:r w:rsidRPr="0070053E">
        <w:rPr>
          <w:rFonts w:eastAsia="MS Mincho"/>
          <w:sz w:val="22"/>
          <w:szCs w:val="22"/>
          <w:lang w:val="en-US" w:eastAsia="ja-JP"/>
        </w:rPr>
        <w:t xml:space="preserve">FFS how to specify the sequence index for RPF=4 </w:t>
      </w:r>
    </w:p>
    <w:p w:rsidR="000C0F2F" w:rsidRPr="00C831F1" w:rsidRDefault="000C0F2F" w:rsidP="000C0F2F">
      <w:pPr>
        <w:pStyle w:val="LGTdoc"/>
        <w:spacing w:afterLines="0" w:after="120" w:line="240" w:lineRule="auto"/>
        <w:rPr>
          <w:szCs w:val="22"/>
        </w:rPr>
      </w:pPr>
      <w:r w:rsidRPr="00C831F1">
        <w:rPr>
          <w:szCs w:val="22"/>
        </w:rPr>
        <w:t xml:space="preserve">In this contribution, we </w:t>
      </w:r>
      <w:r>
        <w:rPr>
          <w:szCs w:val="22"/>
        </w:rPr>
        <w:t>discuss the remaining details on increasing number of combs for SRS.</w:t>
      </w:r>
      <w:r w:rsidRPr="00C831F1">
        <w:rPr>
          <w:szCs w:val="22"/>
        </w:rPr>
        <w:t xml:space="preserve"> </w:t>
      </w:r>
    </w:p>
    <w:p w:rsidR="000C0F2F" w:rsidRDefault="000C0F2F" w:rsidP="000C0F2F">
      <w:pPr>
        <w:pStyle w:val="Heading1"/>
        <w:numPr>
          <w:ilvl w:val="0"/>
          <w:numId w:val="1"/>
        </w:numPr>
        <w:tabs>
          <w:tab w:val="clear" w:pos="1140"/>
          <w:tab w:val="num" w:pos="720"/>
        </w:tabs>
        <w:ind w:left="720" w:hanging="720"/>
        <w:jc w:val="both"/>
      </w:pPr>
      <w:r>
        <w:t>Discussion</w:t>
      </w:r>
    </w:p>
    <w:p w:rsidR="000C0F2F" w:rsidRPr="00186AC0" w:rsidRDefault="000C0F2F" w:rsidP="000C0F2F">
      <w:pPr>
        <w:pStyle w:val="Heading2"/>
        <w:numPr>
          <w:ilvl w:val="1"/>
          <w:numId w:val="1"/>
        </w:numPr>
        <w:tabs>
          <w:tab w:val="clear" w:pos="1140"/>
        </w:tabs>
        <w:spacing w:after="120"/>
        <w:ind w:left="720" w:hanging="720"/>
        <w:rPr>
          <w:rFonts w:ascii="Arial" w:hAnsi="Arial" w:cs="Arial"/>
          <w:b w:val="0"/>
          <w:i w:val="0"/>
        </w:rPr>
      </w:pPr>
      <w:r>
        <w:rPr>
          <w:rFonts w:ascii="Arial" w:hAnsi="Arial" w:cs="Arial"/>
          <w:b w:val="0"/>
          <w:i w:val="0"/>
        </w:rPr>
        <w:t>SRS sequence for RPF = 4</w:t>
      </w:r>
    </w:p>
    <w:p w:rsidR="000C0F2F" w:rsidRDefault="000C0F2F" w:rsidP="000C0F2F">
      <w:pPr>
        <w:pStyle w:val="LGTdoc"/>
        <w:spacing w:afterLines="0" w:after="120" w:line="240" w:lineRule="auto"/>
        <w:rPr>
          <w:szCs w:val="22"/>
        </w:rPr>
      </w:pPr>
      <w:r>
        <w:rPr>
          <w:szCs w:val="22"/>
        </w:rPr>
        <w:t xml:space="preserve">When </w:t>
      </w:r>
      <w:r>
        <w:rPr>
          <w:rFonts w:hint="eastAsia"/>
          <w:szCs w:val="22"/>
        </w:rPr>
        <w:t xml:space="preserve">the </w:t>
      </w:r>
      <w:r>
        <w:rPr>
          <w:szCs w:val="22"/>
        </w:rPr>
        <w:t xml:space="preserve">number of </w:t>
      </w:r>
      <w:r>
        <w:rPr>
          <w:rFonts w:hint="eastAsia"/>
          <w:szCs w:val="22"/>
        </w:rPr>
        <w:t xml:space="preserve">comb </w:t>
      </w:r>
      <w:r>
        <w:rPr>
          <w:szCs w:val="22"/>
        </w:rPr>
        <w:t xml:space="preserve">is </w:t>
      </w:r>
      <w:r>
        <w:rPr>
          <w:rFonts w:hint="eastAsia"/>
          <w:szCs w:val="22"/>
        </w:rPr>
        <w:t xml:space="preserve">increased to 4, </w:t>
      </w:r>
      <w:r>
        <w:rPr>
          <w:szCs w:val="22"/>
        </w:rPr>
        <w:t>t</w:t>
      </w:r>
      <w:r w:rsidRPr="0031471F">
        <w:rPr>
          <w:szCs w:val="22"/>
        </w:rPr>
        <w:t xml:space="preserve">here is </w:t>
      </w:r>
      <w:r>
        <w:rPr>
          <w:szCs w:val="22"/>
        </w:rPr>
        <w:t xml:space="preserve">a </w:t>
      </w:r>
      <w:r w:rsidRPr="0031471F">
        <w:rPr>
          <w:szCs w:val="22"/>
        </w:rPr>
        <w:t xml:space="preserve">potential sequence collision </w:t>
      </w:r>
      <w:r>
        <w:rPr>
          <w:szCs w:val="22"/>
        </w:rPr>
        <w:t xml:space="preserve">as discussed in [2]. The collision is due to </w:t>
      </w:r>
      <w:r w:rsidRPr="0031471F">
        <w:rPr>
          <w:szCs w:val="22"/>
        </w:rPr>
        <w:t xml:space="preserve">different combs used in neighbouring cells for </w:t>
      </w:r>
      <w:r>
        <w:rPr>
          <w:szCs w:val="22"/>
        </w:rPr>
        <w:t xml:space="preserve">the </w:t>
      </w:r>
      <w:r w:rsidRPr="0031471F">
        <w:rPr>
          <w:szCs w:val="22"/>
        </w:rPr>
        <w:t>same SRS sequence length</w:t>
      </w:r>
      <w:r>
        <w:rPr>
          <w:szCs w:val="22"/>
        </w:rPr>
        <w:t>. One example is shown in Figure</w:t>
      </w:r>
      <w:r w:rsidR="007A5A21">
        <w:rPr>
          <w:szCs w:val="22"/>
        </w:rPr>
        <w:t xml:space="preserve"> </w:t>
      </w:r>
      <w:r>
        <w:rPr>
          <w:szCs w:val="22"/>
        </w:rPr>
        <w:t>1.</w:t>
      </w:r>
    </w:p>
    <w:p w:rsidR="00EB627A" w:rsidRDefault="000C0F2F" w:rsidP="00EB627A">
      <w:pPr>
        <w:pStyle w:val="LGTdoc"/>
        <w:spacing w:afterLines="0" w:after="120" w:line="240" w:lineRule="auto"/>
        <w:rPr>
          <w:szCs w:val="22"/>
        </w:rPr>
      </w:pPr>
      <w:r>
        <w:rPr>
          <w:szCs w:val="22"/>
        </w:rPr>
        <w:t xml:space="preserve">It can be seen that the sequence collision is conditional on </w:t>
      </w:r>
      <w:bookmarkStart w:id="2" w:name="OLE_LINK27"/>
      <w:bookmarkStart w:id="3" w:name="OLE_LINK28"/>
      <w:r w:rsidRPr="006F3740">
        <w:rPr>
          <w:position w:val="-10"/>
          <w:szCs w:val="22"/>
        </w:rPr>
        <w:object w:dxaOrig="9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17.25pt" o:ole="">
            <v:imagedata r:id="rId8" o:title=""/>
          </v:shape>
          <o:OLEObject Type="Embed" ProgID="Equation.3" ShapeID="_x0000_i1025" DrawAspect="Content" ObjectID="_1508342863" r:id="rId9"/>
        </w:object>
      </w:r>
      <w:bookmarkEnd w:id="2"/>
      <w:bookmarkEnd w:id="3"/>
      <w:r w:rsidR="007A5A21">
        <w:rPr>
          <w:szCs w:val="22"/>
        </w:rPr>
        <w:t xml:space="preserve">or </w:t>
      </w:r>
      <m:oMath>
        <m:sSub>
          <m:sSubPr>
            <m:ctrlPr>
              <w:rPr>
                <w:rFonts w:ascii="Cambria Math" w:hAnsi="Cambria Math"/>
                <w:i/>
                <w:szCs w:val="22"/>
              </w:rPr>
            </m:ctrlPr>
          </m:sSubPr>
          <m:e>
            <m:r>
              <w:rPr>
                <w:rFonts w:ascii="Cambria Math" w:hAnsi="Cambria Math"/>
                <w:szCs w:val="22"/>
              </w:rPr>
              <m:t>q</m:t>
            </m:r>
          </m:e>
          <m:sub>
            <m:r>
              <w:rPr>
                <w:rFonts w:ascii="Cambria Math" w:hAnsi="Cambria Math"/>
                <w:szCs w:val="22"/>
              </w:rPr>
              <m:t>1</m:t>
            </m:r>
          </m:sub>
        </m:sSub>
        <m:r>
          <w:rPr>
            <w:rFonts w:ascii="Cambria Math" w:hAnsi="Cambria Math"/>
            <w:szCs w:val="22"/>
          </w:rPr>
          <m:t>=mod(4∙</m:t>
        </m:r>
        <m:sSub>
          <m:sSubPr>
            <m:ctrlPr>
              <w:rPr>
                <w:rFonts w:ascii="Cambria Math" w:hAnsi="Cambria Math"/>
                <w:i/>
                <w:szCs w:val="22"/>
              </w:rPr>
            </m:ctrlPr>
          </m:sSubPr>
          <m:e>
            <m:r>
              <w:rPr>
                <w:rFonts w:ascii="Cambria Math" w:hAnsi="Cambria Math"/>
                <w:szCs w:val="22"/>
              </w:rPr>
              <m:t>q</m:t>
            </m:r>
          </m:e>
          <m:sub>
            <m:r>
              <w:rPr>
                <w:rFonts w:ascii="Cambria Math" w:hAnsi="Cambria Math"/>
                <w:szCs w:val="22"/>
              </w:rPr>
              <m:t>2</m:t>
            </m:r>
          </m:sub>
        </m:sSub>
        <m:r>
          <w:rPr>
            <w:rFonts w:ascii="Cambria Math" w:hAnsi="Cambria Math"/>
            <w:szCs w:val="22"/>
          </w:rPr>
          <m:t xml:space="preserve">,  </m:t>
        </m:r>
        <m:sSubSup>
          <m:sSubSupPr>
            <m:ctrlPr>
              <w:rPr>
                <w:rFonts w:ascii="Cambria Math" w:hAnsi="Cambria Math"/>
                <w:i/>
                <w:szCs w:val="22"/>
                <w:lang w:eastAsia="ja-JP"/>
              </w:rPr>
            </m:ctrlPr>
          </m:sSubSupPr>
          <m:e>
            <m:r>
              <w:rPr>
                <w:rFonts w:ascii="Cambria Math" w:hAnsi="Cambria Math"/>
                <w:szCs w:val="22"/>
                <w:lang w:eastAsia="ja-JP"/>
              </w:rPr>
              <m:t>N</m:t>
            </m:r>
          </m:e>
          <m:sub>
            <m:r>
              <w:rPr>
                <w:rFonts w:ascii="Cambria Math" w:hAnsi="Cambria Math"/>
                <w:szCs w:val="22"/>
                <w:lang w:eastAsia="ja-JP"/>
              </w:rPr>
              <m:t>ZC</m:t>
            </m:r>
          </m:sub>
          <m:sup>
            <m:r>
              <w:rPr>
                <w:rFonts w:ascii="Cambria Math" w:hAnsi="Cambria Math"/>
                <w:szCs w:val="22"/>
                <w:lang w:eastAsia="ja-JP"/>
              </w:rPr>
              <m:t>RS</m:t>
            </m:r>
          </m:sup>
        </m:sSubSup>
        <m:r>
          <w:rPr>
            <w:rFonts w:ascii="Cambria Math" w:hAnsi="Cambria Math"/>
            <w:szCs w:val="22"/>
            <w:lang w:eastAsia="ja-JP"/>
          </w:rPr>
          <m:t>)</m:t>
        </m:r>
      </m:oMath>
      <w:r w:rsidR="007A5A21">
        <w:rPr>
          <w:szCs w:val="22"/>
        </w:rPr>
        <w:t xml:space="preserve"> </w:t>
      </w:r>
      <w:r>
        <w:rPr>
          <w:szCs w:val="22"/>
          <w:lang w:eastAsia="ja-JP"/>
        </w:rPr>
        <w:t>where q</w:t>
      </w:r>
      <w:r w:rsidRPr="001C327C">
        <w:rPr>
          <w:szCs w:val="22"/>
          <w:vertAlign w:val="subscript"/>
          <w:lang w:eastAsia="ja-JP"/>
        </w:rPr>
        <w:t>1</w:t>
      </w:r>
      <w:r>
        <w:rPr>
          <w:szCs w:val="22"/>
          <w:lang w:eastAsia="ja-JP"/>
        </w:rPr>
        <w:t xml:space="preserve"> is the index of the root ZC sequence of a RPF</w:t>
      </w:r>
      <w:r w:rsidR="007A5A21">
        <w:rPr>
          <w:szCs w:val="22"/>
          <w:lang w:eastAsia="ja-JP"/>
        </w:rPr>
        <w:t xml:space="preserve"> </w:t>
      </w:r>
      <w:r>
        <w:rPr>
          <w:szCs w:val="22"/>
          <w:lang w:eastAsia="ja-JP"/>
        </w:rPr>
        <w:t>=</w:t>
      </w:r>
      <w:r w:rsidR="007A5A21">
        <w:rPr>
          <w:szCs w:val="22"/>
          <w:lang w:eastAsia="ja-JP"/>
        </w:rPr>
        <w:t xml:space="preserve"> </w:t>
      </w:r>
      <w:r>
        <w:rPr>
          <w:szCs w:val="22"/>
          <w:lang w:eastAsia="ja-JP"/>
        </w:rPr>
        <w:t>4 SRS in cell 1 and q</w:t>
      </w:r>
      <w:r w:rsidRPr="001C327C">
        <w:rPr>
          <w:szCs w:val="22"/>
          <w:vertAlign w:val="subscript"/>
          <w:lang w:eastAsia="ja-JP"/>
        </w:rPr>
        <w:t>2</w:t>
      </w:r>
      <w:r>
        <w:rPr>
          <w:szCs w:val="22"/>
          <w:lang w:eastAsia="ja-JP"/>
        </w:rPr>
        <w:t xml:space="preserve"> is the index of the root ZC sequence of a RPF</w:t>
      </w:r>
      <w:r w:rsidR="007A5A21">
        <w:rPr>
          <w:szCs w:val="22"/>
          <w:lang w:eastAsia="ja-JP"/>
        </w:rPr>
        <w:t xml:space="preserve"> </w:t>
      </w:r>
      <w:r>
        <w:rPr>
          <w:szCs w:val="22"/>
          <w:lang w:eastAsia="ja-JP"/>
        </w:rPr>
        <w:t>=</w:t>
      </w:r>
      <w:r w:rsidR="007A5A21">
        <w:rPr>
          <w:szCs w:val="22"/>
          <w:lang w:eastAsia="ja-JP"/>
        </w:rPr>
        <w:t xml:space="preserve"> </w:t>
      </w:r>
      <w:r>
        <w:rPr>
          <w:szCs w:val="22"/>
          <w:lang w:eastAsia="ja-JP"/>
        </w:rPr>
        <w:t xml:space="preserve">2 SRS in cell 2. The value of q is determined by the </w:t>
      </w:r>
      <w:r>
        <w:t xml:space="preserve">base </w:t>
      </w:r>
      <w:r w:rsidRPr="001C327C">
        <w:rPr>
          <w:szCs w:val="22"/>
        </w:rPr>
        <w:t xml:space="preserve">sequence number </w:t>
      </w:r>
      <w:r w:rsidRPr="00772221">
        <w:rPr>
          <w:rFonts w:eastAsia="Times New Roman"/>
          <w:i/>
          <w:szCs w:val="22"/>
          <w:lang w:eastAsia="en-US"/>
        </w:rPr>
        <w:t>u</w:t>
      </w:r>
      <w:r>
        <w:rPr>
          <w:rFonts w:eastAsia="Times New Roman"/>
          <w:szCs w:val="22"/>
          <w:lang w:eastAsia="en-US"/>
        </w:rPr>
        <w:t xml:space="preserve"> </w:t>
      </w:r>
      <w:r w:rsidRPr="001C327C">
        <w:rPr>
          <w:rFonts w:eastAsia="Times New Roman"/>
          <w:szCs w:val="22"/>
          <w:lang w:eastAsia="en-US"/>
        </w:rPr>
        <w:t>and</w:t>
      </w:r>
      <w:r>
        <w:rPr>
          <w:rFonts w:eastAsia="Times New Roman"/>
          <w:szCs w:val="22"/>
          <w:lang w:eastAsia="en-US"/>
        </w:rPr>
        <w:t xml:space="preserve"> </w:t>
      </w:r>
      <w:r w:rsidRPr="00772221">
        <w:rPr>
          <w:rFonts w:eastAsia="Times New Roman"/>
          <w:i/>
          <w:szCs w:val="22"/>
          <w:lang w:eastAsia="en-US"/>
        </w:rPr>
        <w:t>v</w:t>
      </w:r>
      <w:r>
        <w:rPr>
          <w:rFonts w:eastAsia="Times New Roman"/>
          <w:szCs w:val="22"/>
          <w:lang w:eastAsia="en-US"/>
        </w:rPr>
        <w:t xml:space="preserve"> </w:t>
      </w:r>
      <w:r w:rsidRPr="001C327C">
        <w:rPr>
          <w:szCs w:val="22"/>
        </w:rPr>
        <w:t xml:space="preserve">according to TS 36.211. </w:t>
      </w:r>
      <w:r>
        <w:rPr>
          <w:szCs w:val="22"/>
        </w:rPr>
        <w:t>In other words, q</w:t>
      </w:r>
      <w:r w:rsidRPr="00643139">
        <w:rPr>
          <w:szCs w:val="22"/>
          <w:vertAlign w:val="subscript"/>
        </w:rPr>
        <w:t>1</w:t>
      </w:r>
      <w:r>
        <w:rPr>
          <w:szCs w:val="22"/>
        </w:rPr>
        <w:t xml:space="preserve"> ≠ q</w:t>
      </w:r>
      <w:r w:rsidRPr="00643139">
        <w:rPr>
          <w:szCs w:val="22"/>
          <w:vertAlign w:val="subscript"/>
        </w:rPr>
        <w:t>2</w:t>
      </w:r>
      <w:r>
        <w:rPr>
          <w:szCs w:val="22"/>
        </w:rPr>
        <w:t xml:space="preserve"> for different cell IDs in neighbouring cells, however, </w:t>
      </w:r>
      <m:oMath>
        <m:sSub>
          <m:sSubPr>
            <m:ctrlPr>
              <w:rPr>
                <w:rFonts w:ascii="Cambria Math" w:hAnsi="Cambria Math"/>
                <w:i/>
                <w:szCs w:val="22"/>
              </w:rPr>
            </m:ctrlPr>
          </m:sSubPr>
          <m:e>
            <m:r>
              <w:rPr>
                <w:rFonts w:ascii="Cambria Math" w:hAnsi="Cambria Math"/>
                <w:szCs w:val="22"/>
              </w:rPr>
              <m:t>q</m:t>
            </m:r>
          </m:e>
          <m:sub>
            <m:r>
              <w:rPr>
                <w:rFonts w:ascii="Cambria Math" w:hAnsi="Cambria Math"/>
                <w:szCs w:val="22"/>
              </w:rPr>
              <m:t>1</m:t>
            </m:r>
          </m:sub>
        </m:sSub>
        <m:r>
          <w:rPr>
            <w:rFonts w:ascii="Cambria Math" w:hAnsi="Cambria Math"/>
            <w:szCs w:val="22"/>
          </w:rPr>
          <m:t>≠mod(4∙</m:t>
        </m:r>
        <m:sSub>
          <m:sSubPr>
            <m:ctrlPr>
              <w:rPr>
                <w:rFonts w:ascii="Cambria Math" w:hAnsi="Cambria Math"/>
                <w:i/>
                <w:szCs w:val="22"/>
              </w:rPr>
            </m:ctrlPr>
          </m:sSubPr>
          <m:e>
            <m:r>
              <w:rPr>
                <w:rFonts w:ascii="Cambria Math" w:hAnsi="Cambria Math"/>
                <w:szCs w:val="22"/>
              </w:rPr>
              <m:t>q</m:t>
            </m:r>
          </m:e>
          <m:sub>
            <m:r>
              <w:rPr>
                <w:rFonts w:ascii="Cambria Math" w:hAnsi="Cambria Math"/>
                <w:szCs w:val="22"/>
              </w:rPr>
              <m:t>2</m:t>
            </m:r>
          </m:sub>
        </m:sSub>
        <m:r>
          <w:rPr>
            <w:rFonts w:ascii="Cambria Math" w:hAnsi="Cambria Math"/>
            <w:szCs w:val="22"/>
          </w:rPr>
          <m:t xml:space="preserve">, </m:t>
        </m:r>
        <m:sSubSup>
          <m:sSubSupPr>
            <m:ctrlPr>
              <w:rPr>
                <w:rFonts w:ascii="Cambria Math" w:hAnsi="Cambria Math"/>
                <w:i/>
                <w:szCs w:val="22"/>
                <w:lang w:eastAsia="ja-JP"/>
              </w:rPr>
            </m:ctrlPr>
          </m:sSubSupPr>
          <m:e>
            <m:r>
              <w:rPr>
                <w:rFonts w:ascii="Cambria Math" w:hAnsi="Cambria Math"/>
                <w:szCs w:val="22"/>
                <w:lang w:eastAsia="ja-JP"/>
              </w:rPr>
              <m:t xml:space="preserve"> N</m:t>
            </m:r>
          </m:e>
          <m:sub>
            <m:r>
              <w:rPr>
                <w:rFonts w:ascii="Cambria Math" w:hAnsi="Cambria Math"/>
                <w:szCs w:val="22"/>
                <w:lang w:eastAsia="ja-JP"/>
              </w:rPr>
              <m:t>ZC</m:t>
            </m:r>
          </m:sub>
          <m:sup>
            <m:r>
              <w:rPr>
                <w:rFonts w:ascii="Cambria Math" w:hAnsi="Cambria Math"/>
                <w:szCs w:val="22"/>
                <w:lang w:eastAsia="ja-JP"/>
              </w:rPr>
              <m:t>RS</m:t>
            </m:r>
          </m:sup>
        </m:sSubSup>
        <m:r>
          <w:rPr>
            <w:rFonts w:ascii="Cambria Math" w:hAnsi="Cambria Math"/>
            <w:szCs w:val="22"/>
            <w:lang w:eastAsia="ja-JP"/>
          </w:rPr>
          <m:t>)</m:t>
        </m:r>
      </m:oMath>
      <w:r w:rsidR="007A5A21">
        <w:rPr>
          <w:szCs w:val="22"/>
        </w:rPr>
        <w:t xml:space="preserve"> </w:t>
      </w:r>
      <w:r>
        <w:rPr>
          <w:szCs w:val="22"/>
        </w:rPr>
        <w:t>may not be valid. In such case, there exists SRS sequence collision between RPF</w:t>
      </w:r>
      <w:r w:rsidR="007A5A21">
        <w:rPr>
          <w:szCs w:val="22"/>
        </w:rPr>
        <w:t xml:space="preserve"> </w:t>
      </w:r>
      <w:r>
        <w:rPr>
          <w:szCs w:val="22"/>
        </w:rPr>
        <w:t>=</w:t>
      </w:r>
      <w:r w:rsidR="007A5A21">
        <w:rPr>
          <w:szCs w:val="22"/>
        </w:rPr>
        <w:t xml:space="preserve"> </w:t>
      </w:r>
      <w:r>
        <w:rPr>
          <w:szCs w:val="22"/>
        </w:rPr>
        <w:t xml:space="preserve">4 and 2 in different cells. </w:t>
      </w:r>
    </w:p>
    <w:p w:rsidR="00C754B3" w:rsidRPr="00EB627A" w:rsidRDefault="002E0E20" w:rsidP="00EB627A">
      <w:pPr>
        <w:pStyle w:val="LGTdoc"/>
        <w:spacing w:afterLines="0" w:after="120" w:line="240" w:lineRule="auto"/>
        <w:rPr>
          <w:szCs w:val="22"/>
          <w:lang w:eastAsia="ja-JP"/>
        </w:rPr>
      </w:pPr>
      <w:r w:rsidRPr="00EB627A">
        <w:rPr>
          <w:szCs w:val="22"/>
        </w:rPr>
        <w:t xml:space="preserve">The collision probability </w:t>
      </w:r>
      <m:oMath>
        <m:sSub>
          <m:sSubPr>
            <m:ctrlPr>
              <w:rPr>
                <w:rFonts w:ascii="Cambria Math" w:hAnsi="Cambria Math"/>
                <w:i/>
                <w:szCs w:val="22"/>
              </w:rPr>
            </m:ctrlPr>
          </m:sSubPr>
          <m:e>
            <m:r>
              <w:rPr>
                <w:rFonts w:ascii="Cambria Math" w:hAnsi="Cambria Math"/>
                <w:szCs w:val="22"/>
              </w:rPr>
              <m:t>q</m:t>
            </m:r>
          </m:e>
          <m:sub>
            <m:r>
              <w:rPr>
                <w:rFonts w:ascii="Cambria Math" w:hAnsi="Cambria Math"/>
                <w:szCs w:val="22"/>
              </w:rPr>
              <m:t>1</m:t>
            </m:r>
          </m:sub>
        </m:sSub>
        <m:r>
          <w:rPr>
            <w:rFonts w:ascii="Cambria Math" w:hAnsi="Cambria Math"/>
            <w:szCs w:val="22"/>
          </w:rPr>
          <m:t>=mod(4∙</m:t>
        </m:r>
        <m:sSub>
          <m:sSubPr>
            <m:ctrlPr>
              <w:rPr>
                <w:rFonts w:ascii="Cambria Math" w:hAnsi="Cambria Math"/>
                <w:i/>
                <w:szCs w:val="22"/>
              </w:rPr>
            </m:ctrlPr>
          </m:sSubPr>
          <m:e>
            <m:r>
              <w:rPr>
                <w:rFonts w:ascii="Cambria Math" w:hAnsi="Cambria Math"/>
                <w:szCs w:val="22"/>
              </w:rPr>
              <m:t>q</m:t>
            </m:r>
          </m:e>
          <m:sub>
            <m:r>
              <w:rPr>
                <w:rFonts w:ascii="Cambria Math" w:hAnsi="Cambria Math"/>
                <w:szCs w:val="22"/>
              </w:rPr>
              <m:t>2</m:t>
            </m:r>
          </m:sub>
        </m:sSub>
        <m:r>
          <w:rPr>
            <w:rFonts w:ascii="Cambria Math" w:hAnsi="Cambria Math"/>
            <w:szCs w:val="22"/>
          </w:rPr>
          <m:t xml:space="preserve">,  </m:t>
        </m:r>
        <m:sSubSup>
          <m:sSubSupPr>
            <m:ctrlPr>
              <w:rPr>
                <w:rFonts w:ascii="Cambria Math" w:hAnsi="Cambria Math"/>
                <w:i/>
                <w:szCs w:val="22"/>
                <w:lang w:eastAsia="ja-JP"/>
              </w:rPr>
            </m:ctrlPr>
          </m:sSubSupPr>
          <m:e>
            <m:r>
              <w:rPr>
                <w:rFonts w:ascii="Cambria Math" w:hAnsi="Cambria Math"/>
                <w:szCs w:val="22"/>
                <w:lang w:eastAsia="ja-JP"/>
              </w:rPr>
              <m:t>N</m:t>
            </m:r>
          </m:e>
          <m:sub>
            <m:r>
              <w:rPr>
                <w:rFonts w:ascii="Cambria Math" w:hAnsi="Cambria Math"/>
                <w:szCs w:val="22"/>
                <w:lang w:eastAsia="ja-JP"/>
              </w:rPr>
              <m:t>ZC</m:t>
            </m:r>
          </m:sub>
          <m:sup>
            <m:r>
              <w:rPr>
                <w:rFonts w:ascii="Cambria Math" w:hAnsi="Cambria Math"/>
                <w:szCs w:val="22"/>
                <w:lang w:eastAsia="ja-JP"/>
              </w:rPr>
              <m:t>RS</m:t>
            </m:r>
          </m:sup>
        </m:sSubSup>
        <m:r>
          <w:rPr>
            <w:rFonts w:ascii="Cambria Math" w:hAnsi="Cambria Math"/>
            <w:szCs w:val="22"/>
            <w:lang w:eastAsia="ja-JP"/>
          </w:rPr>
          <m:t>)</m:t>
        </m:r>
      </m:oMath>
      <w:r w:rsidRPr="00EB627A">
        <w:rPr>
          <w:szCs w:val="22"/>
          <w:lang w:eastAsia="ja-JP"/>
        </w:rPr>
        <w:t xml:space="preserve"> </w:t>
      </w:r>
      <w:r w:rsidRPr="00EB627A">
        <w:rPr>
          <w:szCs w:val="22"/>
        </w:rPr>
        <w:t xml:space="preserve">is dependent on the ZC sequence </w:t>
      </w:r>
      <w:r w:rsidR="00EB627A" w:rsidRPr="00EB627A">
        <w:rPr>
          <w:szCs w:val="22"/>
        </w:rPr>
        <w:t>length</w:t>
      </w:r>
      <m:oMath>
        <m:r>
          <w:rPr>
            <w:rFonts w:ascii="Cambria Math" w:hAnsi="Cambria Math"/>
            <w:szCs w:val="22"/>
          </w:rPr>
          <m:t xml:space="preserve"> </m:t>
        </m:r>
        <m:sSubSup>
          <m:sSubSupPr>
            <m:ctrlPr>
              <w:rPr>
                <w:rFonts w:ascii="Cambria Math" w:hAnsi="Cambria Math"/>
                <w:i/>
                <w:szCs w:val="22"/>
                <w:lang w:eastAsia="ja-JP"/>
              </w:rPr>
            </m:ctrlPr>
          </m:sSubSupPr>
          <m:e>
            <m:r>
              <w:rPr>
                <w:rFonts w:ascii="Cambria Math" w:hAnsi="Cambria Math"/>
                <w:szCs w:val="22"/>
                <w:lang w:eastAsia="ja-JP"/>
              </w:rPr>
              <m:t>N</m:t>
            </m:r>
          </m:e>
          <m:sub>
            <m:r>
              <w:rPr>
                <w:rFonts w:ascii="Cambria Math" w:hAnsi="Cambria Math"/>
                <w:szCs w:val="22"/>
                <w:lang w:eastAsia="ja-JP"/>
              </w:rPr>
              <m:t>ZC</m:t>
            </m:r>
          </m:sub>
          <m:sup>
            <m:r>
              <w:rPr>
                <w:rFonts w:ascii="Cambria Math" w:hAnsi="Cambria Math"/>
                <w:szCs w:val="22"/>
                <w:lang w:eastAsia="ja-JP"/>
              </w:rPr>
              <m:t>RS</m:t>
            </m:r>
          </m:sup>
        </m:sSubSup>
      </m:oMath>
      <w:r w:rsidRPr="00EB627A">
        <w:rPr>
          <w:szCs w:val="22"/>
        </w:rPr>
        <w:t xml:space="preserve">. Because for a larger prime number </w:t>
      </w:r>
      <m:oMath>
        <m:sSubSup>
          <m:sSubSupPr>
            <m:ctrlPr>
              <w:rPr>
                <w:rFonts w:ascii="Cambria Math" w:hAnsi="Cambria Math"/>
                <w:i/>
                <w:szCs w:val="22"/>
                <w:lang w:eastAsia="ja-JP"/>
              </w:rPr>
            </m:ctrlPr>
          </m:sSubSupPr>
          <m:e>
            <m:r>
              <w:rPr>
                <w:rFonts w:ascii="Cambria Math" w:hAnsi="Cambria Math"/>
                <w:szCs w:val="22"/>
                <w:lang w:eastAsia="ja-JP"/>
              </w:rPr>
              <m:t xml:space="preserve"> N</m:t>
            </m:r>
          </m:e>
          <m:sub>
            <m:r>
              <w:rPr>
                <w:rFonts w:ascii="Cambria Math" w:hAnsi="Cambria Math"/>
                <w:szCs w:val="22"/>
                <w:lang w:eastAsia="ja-JP"/>
              </w:rPr>
              <m:t>ZC</m:t>
            </m:r>
          </m:sub>
          <m:sup>
            <m:r>
              <w:rPr>
                <w:rFonts w:ascii="Cambria Math" w:hAnsi="Cambria Math"/>
                <w:szCs w:val="22"/>
                <w:lang w:eastAsia="ja-JP"/>
              </w:rPr>
              <m:t>RS</m:t>
            </m:r>
          </m:sup>
        </m:sSubSup>
      </m:oMath>
      <w:r w:rsidRPr="00EB627A">
        <w:rPr>
          <w:szCs w:val="22"/>
          <w:lang w:eastAsia="ja-JP"/>
        </w:rPr>
        <w:t xml:space="preserve"> there are total </w:t>
      </w:r>
      <m:oMath>
        <m:sSubSup>
          <m:sSubSupPr>
            <m:ctrlPr>
              <w:rPr>
                <w:rFonts w:ascii="Cambria Math" w:hAnsi="Cambria Math"/>
                <w:i/>
                <w:szCs w:val="22"/>
                <w:lang w:eastAsia="ja-JP"/>
              </w:rPr>
            </m:ctrlPr>
          </m:sSubSupPr>
          <m:e>
            <m:r>
              <w:rPr>
                <w:rFonts w:ascii="Cambria Math" w:hAnsi="Cambria Math"/>
                <w:szCs w:val="22"/>
                <w:lang w:eastAsia="ja-JP"/>
              </w:rPr>
              <m:t>N</m:t>
            </m:r>
          </m:e>
          <m:sub>
            <m:r>
              <w:rPr>
                <w:rFonts w:ascii="Cambria Math" w:hAnsi="Cambria Math"/>
                <w:szCs w:val="22"/>
                <w:lang w:eastAsia="ja-JP"/>
              </w:rPr>
              <m:t>ZC</m:t>
            </m:r>
          </m:sub>
          <m:sup>
            <m:r>
              <w:rPr>
                <w:rFonts w:ascii="Cambria Math" w:hAnsi="Cambria Math"/>
                <w:szCs w:val="22"/>
                <w:lang w:eastAsia="ja-JP"/>
              </w:rPr>
              <m:t>RS</m:t>
            </m:r>
          </m:sup>
        </m:sSubSup>
        <m:r>
          <w:rPr>
            <w:rFonts w:ascii="Cambria Math" w:hAnsi="Cambria Math"/>
            <w:szCs w:val="22"/>
            <w:lang w:eastAsia="ja-JP"/>
          </w:rPr>
          <m:t>-1</m:t>
        </m:r>
      </m:oMath>
      <w:r w:rsidRPr="00EB627A">
        <w:rPr>
          <w:szCs w:val="22"/>
          <w:lang w:eastAsia="ja-JP"/>
        </w:rPr>
        <w:t xml:space="preserve"> root </w:t>
      </w:r>
      <w:r w:rsidR="00281957">
        <w:rPr>
          <w:szCs w:val="22"/>
          <w:lang w:eastAsia="ja-JP"/>
        </w:rPr>
        <w:t xml:space="preserve">ZC </w:t>
      </w:r>
      <w:r w:rsidRPr="00EB627A">
        <w:rPr>
          <w:szCs w:val="22"/>
          <w:lang w:eastAsia="ja-JP"/>
        </w:rPr>
        <w:t xml:space="preserve">sequences but only 30 or 60 are selected </w:t>
      </w:r>
      <w:r w:rsidR="00EB627A" w:rsidRPr="00EB627A">
        <w:rPr>
          <w:szCs w:val="22"/>
          <w:lang w:eastAsia="ja-JP"/>
        </w:rPr>
        <w:t xml:space="preserve">for SRS sequence generation denoted by the index </w:t>
      </w:r>
      <w:r w:rsidR="00EB627A" w:rsidRPr="00EB627A">
        <w:rPr>
          <w:szCs w:val="22"/>
        </w:rPr>
        <w:t>q</w:t>
      </w:r>
      <w:r w:rsidR="00EB627A" w:rsidRPr="00EB627A">
        <w:rPr>
          <w:szCs w:val="22"/>
          <w:lang w:eastAsia="ja-JP"/>
        </w:rPr>
        <w:t xml:space="preserve">. Therefore, </w:t>
      </w:r>
      <w:r w:rsidR="00EB627A">
        <w:rPr>
          <w:szCs w:val="22"/>
          <w:lang w:eastAsia="ja-JP"/>
        </w:rPr>
        <w:t xml:space="preserve">it is possible that </w:t>
      </w:r>
      <m:oMath>
        <m:r>
          <w:rPr>
            <w:rFonts w:ascii="Cambria Math" w:hAnsi="Cambria Math"/>
            <w:szCs w:val="22"/>
          </w:rPr>
          <m:t xml:space="preserve">mod(4∙q, </m:t>
        </m:r>
        <m:sSubSup>
          <m:sSubSupPr>
            <m:ctrlPr>
              <w:rPr>
                <w:rFonts w:ascii="Cambria Math" w:hAnsi="Cambria Math"/>
                <w:i/>
                <w:szCs w:val="22"/>
                <w:lang w:eastAsia="ja-JP"/>
              </w:rPr>
            </m:ctrlPr>
          </m:sSubSupPr>
          <m:e>
            <m:r>
              <w:rPr>
                <w:rFonts w:ascii="Cambria Math" w:hAnsi="Cambria Math"/>
                <w:szCs w:val="22"/>
                <w:lang w:eastAsia="ja-JP"/>
              </w:rPr>
              <m:t xml:space="preserve"> N</m:t>
            </m:r>
          </m:e>
          <m:sub>
            <m:r>
              <w:rPr>
                <w:rFonts w:ascii="Cambria Math" w:hAnsi="Cambria Math"/>
                <w:szCs w:val="22"/>
                <w:lang w:eastAsia="ja-JP"/>
              </w:rPr>
              <m:t>ZC</m:t>
            </m:r>
          </m:sub>
          <m:sup>
            <m:r>
              <w:rPr>
                <w:rFonts w:ascii="Cambria Math" w:hAnsi="Cambria Math"/>
                <w:szCs w:val="22"/>
                <w:lang w:eastAsia="ja-JP"/>
              </w:rPr>
              <m:t>RS</m:t>
            </m:r>
          </m:sup>
        </m:sSubSup>
        <m:r>
          <w:rPr>
            <w:rFonts w:ascii="Cambria Math" w:hAnsi="Cambria Math"/>
            <w:szCs w:val="22"/>
            <w:lang w:eastAsia="ja-JP"/>
          </w:rPr>
          <m:t>)</m:t>
        </m:r>
      </m:oMath>
      <w:r w:rsidR="00EB627A" w:rsidRPr="00EB627A">
        <w:rPr>
          <w:szCs w:val="22"/>
          <w:lang w:eastAsia="ja-JP"/>
        </w:rPr>
        <w:t xml:space="preserve"> </w:t>
      </w:r>
      <w:r w:rsidR="00EB627A" w:rsidRPr="00EB627A">
        <w:rPr>
          <w:szCs w:val="22"/>
        </w:rPr>
        <w:t xml:space="preserve">may not be in the set of </w:t>
      </w:r>
      <w:r w:rsidR="00C54B3F">
        <w:rPr>
          <w:szCs w:val="22"/>
        </w:rPr>
        <w:t xml:space="preserve">the supported </w:t>
      </w:r>
      <w:r w:rsidR="00EB627A">
        <w:rPr>
          <w:szCs w:val="22"/>
        </w:rPr>
        <w:t>q</w:t>
      </w:r>
      <w:r w:rsidR="00EB627A" w:rsidRPr="00EB627A">
        <w:rPr>
          <w:szCs w:val="22"/>
        </w:rPr>
        <w:t xml:space="preserve"> values</w:t>
      </w:r>
      <w:r w:rsidR="00EB627A">
        <w:rPr>
          <w:szCs w:val="22"/>
        </w:rPr>
        <w:t xml:space="preserve">. Table 1 below shows the </w:t>
      </w:r>
      <w:r w:rsidR="00EB627A" w:rsidRPr="00EB627A">
        <w:rPr>
          <w:szCs w:val="22"/>
        </w:rPr>
        <w:t>probability</w:t>
      </w:r>
      <w:r w:rsidR="00EB627A">
        <w:rPr>
          <w:szCs w:val="22"/>
        </w:rPr>
        <w:t xml:space="preserve"> for </w:t>
      </w:r>
      <m:oMath>
        <m:sSub>
          <m:sSubPr>
            <m:ctrlPr>
              <w:rPr>
                <w:rFonts w:ascii="Cambria Math" w:hAnsi="Cambria Math"/>
                <w:i/>
                <w:szCs w:val="22"/>
              </w:rPr>
            </m:ctrlPr>
          </m:sSubPr>
          <m:e>
            <m:r>
              <w:rPr>
                <w:rFonts w:ascii="Cambria Math" w:hAnsi="Cambria Math"/>
                <w:szCs w:val="22"/>
              </w:rPr>
              <m:t>q</m:t>
            </m:r>
          </m:e>
          <m:sub>
            <m:r>
              <w:rPr>
                <w:rFonts w:ascii="Cambria Math" w:hAnsi="Cambria Math"/>
                <w:szCs w:val="22"/>
              </w:rPr>
              <m:t>1</m:t>
            </m:r>
          </m:sub>
        </m:sSub>
        <m:r>
          <w:rPr>
            <w:rFonts w:ascii="Cambria Math" w:hAnsi="Cambria Math"/>
            <w:szCs w:val="22"/>
          </w:rPr>
          <m:t>=mod(4∙</m:t>
        </m:r>
        <m:sSub>
          <m:sSubPr>
            <m:ctrlPr>
              <w:rPr>
                <w:rFonts w:ascii="Cambria Math" w:hAnsi="Cambria Math"/>
                <w:i/>
                <w:szCs w:val="22"/>
              </w:rPr>
            </m:ctrlPr>
          </m:sSubPr>
          <m:e>
            <m:r>
              <w:rPr>
                <w:rFonts w:ascii="Cambria Math" w:hAnsi="Cambria Math"/>
                <w:szCs w:val="22"/>
              </w:rPr>
              <m:t>q</m:t>
            </m:r>
          </m:e>
          <m:sub>
            <m:r>
              <w:rPr>
                <w:rFonts w:ascii="Cambria Math" w:hAnsi="Cambria Math"/>
                <w:szCs w:val="22"/>
              </w:rPr>
              <m:t>2</m:t>
            </m:r>
          </m:sub>
        </m:sSub>
        <m:r>
          <w:rPr>
            <w:rFonts w:ascii="Cambria Math" w:hAnsi="Cambria Math"/>
            <w:szCs w:val="22"/>
          </w:rPr>
          <m:t xml:space="preserve">,  </m:t>
        </m:r>
        <m:sSubSup>
          <m:sSubSupPr>
            <m:ctrlPr>
              <w:rPr>
                <w:rFonts w:ascii="Cambria Math" w:hAnsi="Cambria Math"/>
                <w:i/>
                <w:szCs w:val="22"/>
                <w:lang w:eastAsia="ja-JP"/>
              </w:rPr>
            </m:ctrlPr>
          </m:sSubSupPr>
          <m:e>
            <m:r>
              <w:rPr>
                <w:rFonts w:ascii="Cambria Math" w:hAnsi="Cambria Math"/>
                <w:szCs w:val="22"/>
                <w:lang w:eastAsia="ja-JP"/>
              </w:rPr>
              <m:t>N</m:t>
            </m:r>
          </m:e>
          <m:sub>
            <m:r>
              <w:rPr>
                <w:rFonts w:ascii="Cambria Math" w:hAnsi="Cambria Math"/>
                <w:szCs w:val="22"/>
                <w:lang w:eastAsia="ja-JP"/>
              </w:rPr>
              <m:t>ZC</m:t>
            </m:r>
          </m:sub>
          <m:sup>
            <m:r>
              <w:rPr>
                <w:rFonts w:ascii="Cambria Math" w:hAnsi="Cambria Math"/>
                <w:szCs w:val="22"/>
                <w:lang w:eastAsia="ja-JP"/>
              </w:rPr>
              <m:t>RS</m:t>
            </m:r>
          </m:sup>
        </m:sSubSup>
        <m:r>
          <w:rPr>
            <w:rFonts w:ascii="Cambria Math" w:hAnsi="Cambria Math"/>
            <w:szCs w:val="22"/>
            <w:lang w:eastAsia="ja-JP"/>
          </w:rPr>
          <m:t>)</m:t>
        </m:r>
      </m:oMath>
      <w:r w:rsidR="00EB627A">
        <w:rPr>
          <w:szCs w:val="22"/>
          <w:lang w:eastAsia="ja-JP"/>
        </w:rPr>
        <w:t xml:space="preserve"> for different SRS sequence length. </w:t>
      </w:r>
    </w:p>
    <w:p w:rsidR="00915774" w:rsidRPr="00C54B3F" w:rsidRDefault="00915774" w:rsidP="00915774">
      <w:pPr>
        <w:pStyle w:val="LGTdoc"/>
        <w:spacing w:afterLines="0" w:line="312" w:lineRule="auto"/>
        <w:jc w:val="center"/>
        <w:rPr>
          <w:sz w:val="24"/>
          <w:szCs w:val="22"/>
        </w:rPr>
      </w:pPr>
      <w:r w:rsidRPr="00C54B3F">
        <w:rPr>
          <w:rFonts w:eastAsia="SimSun"/>
          <w:szCs w:val="20"/>
          <w:lang w:eastAsia="zh-CN"/>
        </w:rPr>
        <w:t xml:space="preserve">Table </w:t>
      </w:r>
      <w:r w:rsidR="00C43441">
        <w:rPr>
          <w:rFonts w:eastAsia="SimSun"/>
          <w:szCs w:val="20"/>
          <w:lang w:eastAsia="zh-CN"/>
        </w:rPr>
        <w:t>1</w:t>
      </w:r>
      <w:r w:rsidRPr="00C54B3F">
        <w:rPr>
          <w:rFonts w:eastAsia="SimSun"/>
          <w:szCs w:val="20"/>
          <w:lang w:eastAsia="zh-CN"/>
        </w:rPr>
        <w:t xml:space="preserve">. </w:t>
      </w:r>
      <w:r w:rsidR="00C54B3F" w:rsidRPr="00C54B3F">
        <w:rPr>
          <w:rFonts w:eastAsia="SimSun"/>
          <w:szCs w:val="20"/>
          <w:lang w:eastAsia="zh-CN"/>
        </w:rPr>
        <w:t xml:space="preserve">The </w:t>
      </w:r>
      <w:r w:rsidR="00920E46">
        <w:rPr>
          <w:rFonts w:eastAsia="SimSun"/>
          <w:szCs w:val="20"/>
          <w:lang w:eastAsia="zh-CN"/>
        </w:rPr>
        <w:t xml:space="preserve">collision </w:t>
      </w:r>
      <w:r w:rsidR="00C54B3F" w:rsidRPr="00C54B3F">
        <w:rPr>
          <w:rFonts w:eastAsia="SimSun"/>
          <w:szCs w:val="20"/>
          <w:lang w:eastAsia="zh-CN"/>
        </w:rPr>
        <w:t xml:space="preserve">probability of </w:t>
      </w:r>
      <m:oMath>
        <m:sSub>
          <m:sSubPr>
            <m:ctrlPr>
              <w:rPr>
                <w:rFonts w:ascii="Cambria Math" w:hAnsi="Cambria Math"/>
                <w:i/>
                <w:szCs w:val="22"/>
              </w:rPr>
            </m:ctrlPr>
          </m:sSubPr>
          <m:e>
            <m:r>
              <w:rPr>
                <w:rFonts w:ascii="Cambria Math" w:hAnsi="Cambria Math"/>
                <w:szCs w:val="22"/>
              </w:rPr>
              <m:t>q</m:t>
            </m:r>
          </m:e>
          <m:sub>
            <m:r>
              <w:rPr>
                <w:rFonts w:ascii="Cambria Math" w:hAnsi="Cambria Math"/>
                <w:szCs w:val="22"/>
              </w:rPr>
              <m:t>1</m:t>
            </m:r>
          </m:sub>
        </m:sSub>
        <m:r>
          <w:rPr>
            <w:rFonts w:ascii="Cambria Math" w:hAnsi="Cambria Math"/>
            <w:szCs w:val="22"/>
          </w:rPr>
          <m:t>=mod</m:t>
        </m:r>
        <m:d>
          <m:dPr>
            <m:ctrlPr>
              <w:rPr>
                <w:rFonts w:ascii="Cambria Math" w:hAnsi="Cambria Math"/>
                <w:i/>
                <w:szCs w:val="22"/>
              </w:rPr>
            </m:ctrlPr>
          </m:dPr>
          <m:e>
            <m:r>
              <w:rPr>
                <w:rFonts w:ascii="Cambria Math" w:hAnsi="Cambria Math"/>
                <w:szCs w:val="22"/>
              </w:rPr>
              <m:t>4∙</m:t>
            </m:r>
            <m:sSub>
              <m:sSubPr>
                <m:ctrlPr>
                  <w:rPr>
                    <w:rFonts w:ascii="Cambria Math" w:hAnsi="Cambria Math"/>
                    <w:i/>
                    <w:szCs w:val="22"/>
                  </w:rPr>
                </m:ctrlPr>
              </m:sSubPr>
              <m:e>
                <m:r>
                  <w:rPr>
                    <w:rFonts w:ascii="Cambria Math" w:hAnsi="Cambria Math"/>
                    <w:szCs w:val="22"/>
                  </w:rPr>
                  <m:t>q</m:t>
                </m:r>
              </m:e>
              <m:sub>
                <m:r>
                  <w:rPr>
                    <w:rFonts w:ascii="Cambria Math" w:hAnsi="Cambria Math"/>
                    <w:szCs w:val="22"/>
                  </w:rPr>
                  <m:t>2</m:t>
                </m:r>
              </m:sub>
            </m:sSub>
            <m:r>
              <w:rPr>
                <w:rFonts w:ascii="Cambria Math" w:hAnsi="Cambria Math"/>
                <w:szCs w:val="22"/>
              </w:rPr>
              <m:t xml:space="preserve">,  </m:t>
            </m:r>
            <m:sSubSup>
              <m:sSubSupPr>
                <m:ctrlPr>
                  <w:rPr>
                    <w:rFonts w:ascii="Cambria Math" w:hAnsi="Cambria Math"/>
                    <w:i/>
                    <w:szCs w:val="22"/>
                    <w:lang w:eastAsia="ja-JP"/>
                  </w:rPr>
                </m:ctrlPr>
              </m:sSubSupPr>
              <m:e>
                <m:r>
                  <w:rPr>
                    <w:rFonts w:ascii="Cambria Math" w:hAnsi="Cambria Math"/>
                    <w:szCs w:val="22"/>
                    <w:lang w:eastAsia="ja-JP"/>
                  </w:rPr>
                  <m:t>N</m:t>
                </m:r>
              </m:e>
              <m:sub>
                <m:r>
                  <w:rPr>
                    <w:rFonts w:ascii="Cambria Math" w:hAnsi="Cambria Math"/>
                    <w:szCs w:val="22"/>
                    <w:lang w:eastAsia="ja-JP"/>
                  </w:rPr>
                  <m:t>ZC</m:t>
                </m:r>
              </m:sub>
              <m:sup>
                <m:r>
                  <w:rPr>
                    <w:rFonts w:ascii="Cambria Math" w:hAnsi="Cambria Math"/>
                    <w:szCs w:val="22"/>
                    <w:lang w:eastAsia="ja-JP"/>
                  </w:rPr>
                  <m:t>RS</m:t>
                </m:r>
              </m:sup>
            </m:sSubSup>
            <m:ctrlPr>
              <w:rPr>
                <w:rFonts w:ascii="Cambria Math" w:hAnsi="Cambria Math"/>
                <w:i/>
                <w:szCs w:val="22"/>
                <w:lang w:eastAsia="ja-JP"/>
              </w:rPr>
            </m:ctrlPr>
          </m:e>
        </m:d>
      </m:oMath>
    </w:p>
    <w:tbl>
      <w:tblPr>
        <w:tblW w:w="5000" w:type="pct"/>
        <w:tblCellMar>
          <w:left w:w="0" w:type="dxa"/>
          <w:right w:w="0" w:type="dxa"/>
        </w:tblCellMar>
        <w:tblLook w:val="0420" w:firstRow="1" w:lastRow="0" w:firstColumn="0" w:lastColumn="0" w:noHBand="0" w:noVBand="1"/>
      </w:tblPr>
      <w:tblGrid>
        <w:gridCol w:w="1679"/>
        <w:gridCol w:w="755"/>
        <w:gridCol w:w="655"/>
        <w:gridCol w:w="655"/>
        <w:gridCol w:w="655"/>
        <w:gridCol w:w="655"/>
        <w:gridCol w:w="655"/>
        <w:gridCol w:w="655"/>
        <w:gridCol w:w="655"/>
        <w:gridCol w:w="655"/>
        <w:gridCol w:w="655"/>
        <w:gridCol w:w="655"/>
        <w:gridCol w:w="655"/>
      </w:tblGrid>
      <w:tr w:rsidR="00ED6531" w:rsidRPr="002E46A1" w:rsidTr="00ED6531">
        <w:trPr>
          <w:trHeight w:val="362"/>
        </w:trPr>
        <w:tc>
          <w:tcPr>
            <w:tcW w:w="980" w:type="pct"/>
            <w:tcBorders>
              <w:top w:val="single" w:sz="8" w:space="0" w:color="70CFEE"/>
              <w:left w:val="nil"/>
              <w:bottom w:val="single" w:sz="8" w:space="0" w:color="70CFEE"/>
              <w:right w:val="nil"/>
            </w:tcBorders>
            <w:shd w:val="clear" w:color="auto" w:fill="auto"/>
            <w:tcMar>
              <w:top w:w="72" w:type="dxa"/>
              <w:left w:w="144" w:type="dxa"/>
              <w:bottom w:w="72" w:type="dxa"/>
              <w:right w:w="144" w:type="dxa"/>
            </w:tcMar>
            <w:hideMark/>
          </w:tcPr>
          <w:p w:rsidR="00ED6531" w:rsidRPr="002E46A1" w:rsidRDefault="008440D5" w:rsidP="00333337">
            <w:pPr>
              <w:pStyle w:val="LGTdoc"/>
              <w:spacing w:afterLines="0" w:line="240" w:lineRule="auto"/>
              <w:rPr>
                <w:sz w:val="20"/>
                <w:szCs w:val="22"/>
                <w:lang w:val="en-US"/>
              </w:rPr>
            </w:pPr>
            <m:oMathPara>
              <m:oMath>
                <m:sSubSup>
                  <m:sSubSupPr>
                    <m:ctrlPr>
                      <w:rPr>
                        <w:rFonts w:ascii="Cambria Math" w:hAnsi="Cambria Math"/>
                        <w:i/>
                        <w:sz w:val="20"/>
                        <w:szCs w:val="22"/>
                        <w:lang w:val="en-US"/>
                      </w:rPr>
                    </m:ctrlPr>
                  </m:sSubSupPr>
                  <m:e>
                    <m:r>
                      <w:rPr>
                        <w:rFonts w:ascii="Cambria Math" w:hAnsi="Cambria Math"/>
                        <w:sz w:val="20"/>
                        <w:szCs w:val="22"/>
                        <w:lang w:val="en-US"/>
                      </w:rPr>
                      <m:t>M</m:t>
                    </m:r>
                  </m:e>
                  <m:sub>
                    <m:r>
                      <w:rPr>
                        <w:rFonts w:ascii="Cambria Math" w:hAnsi="Cambria Math"/>
                        <w:sz w:val="20"/>
                        <w:szCs w:val="22"/>
                        <w:lang w:val="en-US"/>
                      </w:rPr>
                      <m:t>sc</m:t>
                    </m:r>
                  </m:sub>
                  <m:sup>
                    <m:r>
                      <w:rPr>
                        <w:rFonts w:ascii="Cambria Math" w:hAnsi="Cambria Math"/>
                        <w:sz w:val="20"/>
                        <w:szCs w:val="22"/>
                        <w:lang w:val="en-US"/>
                      </w:rPr>
                      <m:t>RS</m:t>
                    </m:r>
                  </m:sup>
                </m:sSubSup>
              </m:oMath>
            </m:oMathPara>
          </w:p>
        </w:tc>
        <w:tc>
          <w:tcPr>
            <w:tcW w:w="335" w:type="pct"/>
            <w:tcBorders>
              <w:top w:val="single" w:sz="8" w:space="0" w:color="70CFEE"/>
              <w:left w:val="nil"/>
              <w:bottom w:val="single" w:sz="8" w:space="0" w:color="70CFEE"/>
              <w:right w:val="nil"/>
            </w:tcBorders>
            <w:shd w:val="clear" w:color="auto" w:fill="auto"/>
            <w:tcMar>
              <w:top w:w="72" w:type="dxa"/>
              <w:left w:w="144" w:type="dxa"/>
              <w:bottom w:w="72" w:type="dxa"/>
              <w:right w:w="144" w:type="dxa"/>
            </w:tcMar>
            <w:hideMark/>
          </w:tcPr>
          <w:p w:rsidR="00ED6531" w:rsidRPr="002E46A1" w:rsidRDefault="00ED6531" w:rsidP="00333337">
            <w:pPr>
              <w:pStyle w:val="LGTdoc"/>
              <w:spacing w:afterLines="0" w:line="240" w:lineRule="auto"/>
              <w:rPr>
                <w:sz w:val="20"/>
                <w:szCs w:val="22"/>
                <w:lang w:val="en-US"/>
              </w:rPr>
            </w:pPr>
            <w:r w:rsidRPr="002E46A1">
              <w:rPr>
                <w:b/>
                <w:bCs/>
                <w:sz w:val="20"/>
                <w:szCs w:val="22"/>
                <w:lang w:val="en-US"/>
              </w:rPr>
              <w:t>36</w:t>
            </w:r>
          </w:p>
        </w:tc>
        <w:tc>
          <w:tcPr>
            <w:tcW w:w="335" w:type="pct"/>
            <w:tcBorders>
              <w:top w:val="single" w:sz="8" w:space="0" w:color="70CFEE"/>
              <w:left w:val="nil"/>
              <w:bottom w:val="single" w:sz="8" w:space="0" w:color="70CFEE"/>
              <w:right w:val="nil"/>
            </w:tcBorders>
            <w:shd w:val="clear" w:color="auto" w:fill="auto"/>
            <w:tcMar>
              <w:top w:w="72" w:type="dxa"/>
              <w:left w:w="144" w:type="dxa"/>
              <w:bottom w:w="72" w:type="dxa"/>
              <w:right w:w="144" w:type="dxa"/>
            </w:tcMar>
            <w:hideMark/>
          </w:tcPr>
          <w:p w:rsidR="00ED6531" w:rsidRPr="002E46A1" w:rsidRDefault="00ED6531" w:rsidP="00333337">
            <w:pPr>
              <w:pStyle w:val="LGTdoc"/>
              <w:spacing w:afterLines="0" w:line="240" w:lineRule="auto"/>
              <w:rPr>
                <w:sz w:val="20"/>
                <w:szCs w:val="22"/>
                <w:lang w:val="en-US"/>
              </w:rPr>
            </w:pPr>
            <w:r w:rsidRPr="002E46A1">
              <w:rPr>
                <w:b/>
                <w:bCs/>
                <w:sz w:val="20"/>
                <w:szCs w:val="22"/>
                <w:lang w:val="en-US"/>
              </w:rPr>
              <w:t>48</w:t>
            </w:r>
          </w:p>
        </w:tc>
        <w:tc>
          <w:tcPr>
            <w:tcW w:w="335" w:type="pct"/>
            <w:tcBorders>
              <w:top w:val="single" w:sz="8" w:space="0" w:color="70CFEE"/>
              <w:left w:val="nil"/>
              <w:bottom w:val="single" w:sz="8" w:space="0" w:color="70CFEE"/>
              <w:right w:val="nil"/>
            </w:tcBorders>
            <w:shd w:val="clear" w:color="auto" w:fill="auto"/>
            <w:tcMar>
              <w:top w:w="72" w:type="dxa"/>
              <w:left w:w="144" w:type="dxa"/>
              <w:bottom w:w="72" w:type="dxa"/>
              <w:right w:w="144" w:type="dxa"/>
            </w:tcMar>
            <w:hideMark/>
          </w:tcPr>
          <w:p w:rsidR="00ED6531" w:rsidRPr="002E46A1" w:rsidRDefault="00ED6531" w:rsidP="00333337">
            <w:pPr>
              <w:pStyle w:val="LGTdoc"/>
              <w:spacing w:afterLines="0" w:line="240" w:lineRule="auto"/>
              <w:rPr>
                <w:sz w:val="20"/>
                <w:szCs w:val="22"/>
                <w:lang w:val="en-US"/>
              </w:rPr>
            </w:pPr>
            <w:r w:rsidRPr="002E46A1">
              <w:rPr>
                <w:b/>
                <w:bCs/>
                <w:sz w:val="20"/>
                <w:szCs w:val="22"/>
                <w:lang w:val="en-US"/>
              </w:rPr>
              <w:t>60</w:t>
            </w:r>
          </w:p>
        </w:tc>
        <w:tc>
          <w:tcPr>
            <w:tcW w:w="335" w:type="pct"/>
            <w:tcBorders>
              <w:top w:val="single" w:sz="8" w:space="0" w:color="70CFEE"/>
              <w:left w:val="nil"/>
              <w:bottom w:val="single" w:sz="8" w:space="0" w:color="70CFEE"/>
              <w:right w:val="nil"/>
            </w:tcBorders>
            <w:shd w:val="clear" w:color="auto" w:fill="auto"/>
            <w:tcMar>
              <w:top w:w="72" w:type="dxa"/>
              <w:left w:w="144" w:type="dxa"/>
              <w:bottom w:w="72" w:type="dxa"/>
              <w:right w:w="144" w:type="dxa"/>
            </w:tcMar>
            <w:hideMark/>
          </w:tcPr>
          <w:p w:rsidR="00ED6531" w:rsidRPr="002E46A1" w:rsidRDefault="00ED6531" w:rsidP="00333337">
            <w:pPr>
              <w:pStyle w:val="LGTdoc"/>
              <w:spacing w:afterLines="0" w:line="240" w:lineRule="auto"/>
              <w:rPr>
                <w:sz w:val="20"/>
                <w:szCs w:val="22"/>
                <w:lang w:val="en-US"/>
              </w:rPr>
            </w:pPr>
            <w:r w:rsidRPr="002E46A1">
              <w:rPr>
                <w:b/>
                <w:bCs/>
                <w:sz w:val="20"/>
                <w:szCs w:val="22"/>
                <w:lang w:val="en-US"/>
              </w:rPr>
              <w:t>72</w:t>
            </w:r>
          </w:p>
        </w:tc>
        <w:tc>
          <w:tcPr>
            <w:tcW w:w="335" w:type="pct"/>
            <w:tcBorders>
              <w:top w:val="single" w:sz="8" w:space="0" w:color="70CFEE"/>
              <w:left w:val="nil"/>
              <w:bottom w:val="single" w:sz="8" w:space="0" w:color="70CFEE"/>
              <w:right w:val="nil"/>
            </w:tcBorders>
            <w:shd w:val="clear" w:color="auto" w:fill="auto"/>
            <w:tcMar>
              <w:top w:w="72" w:type="dxa"/>
              <w:left w:w="144" w:type="dxa"/>
              <w:bottom w:w="72" w:type="dxa"/>
              <w:right w:w="144" w:type="dxa"/>
            </w:tcMar>
            <w:hideMark/>
          </w:tcPr>
          <w:p w:rsidR="00ED6531" w:rsidRPr="002E46A1" w:rsidRDefault="00ED6531" w:rsidP="00333337">
            <w:pPr>
              <w:pStyle w:val="LGTdoc"/>
              <w:spacing w:afterLines="0" w:line="240" w:lineRule="auto"/>
              <w:rPr>
                <w:sz w:val="20"/>
                <w:szCs w:val="22"/>
                <w:lang w:val="en-US"/>
              </w:rPr>
            </w:pPr>
            <w:r w:rsidRPr="002E46A1">
              <w:rPr>
                <w:b/>
                <w:bCs/>
                <w:sz w:val="20"/>
                <w:szCs w:val="22"/>
                <w:lang w:val="en-US"/>
              </w:rPr>
              <w:t>96</w:t>
            </w:r>
          </w:p>
        </w:tc>
        <w:tc>
          <w:tcPr>
            <w:tcW w:w="335" w:type="pct"/>
            <w:tcBorders>
              <w:top w:val="single" w:sz="8" w:space="0" w:color="70CFEE"/>
              <w:left w:val="nil"/>
              <w:bottom w:val="single" w:sz="8" w:space="0" w:color="70CFEE"/>
              <w:right w:val="nil"/>
            </w:tcBorders>
            <w:shd w:val="clear" w:color="auto" w:fill="auto"/>
            <w:tcMar>
              <w:top w:w="72" w:type="dxa"/>
              <w:left w:w="144" w:type="dxa"/>
              <w:bottom w:w="72" w:type="dxa"/>
              <w:right w:w="144" w:type="dxa"/>
            </w:tcMar>
            <w:hideMark/>
          </w:tcPr>
          <w:p w:rsidR="00ED6531" w:rsidRPr="002E46A1" w:rsidRDefault="00ED6531" w:rsidP="00333337">
            <w:pPr>
              <w:pStyle w:val="LGTdoc"/>
              <w:spacing w:afterLines="0" w:line="240" w:lineRule="auto"/>
              <w:rPr>
                <w:sz w:val="20"/>
                <w:szCs w:val="22"/>
                <w:lang w:val="en-US"/>
              </w:rPr>
            </w:pPr>
            <w:r w:rsidRPr="002E46A1">
              <w:rPr>
                <w:b/>
                <w:bCs/>
                <w:sz w:val="20"/>
                <w:szCs w:val="22"/>
                <w:lang w:val="en-US"/>
              </w:rPr>
              <w:t>108</w:t>
            </w:r>
          </w:p>
        </w:tc>
        <w:tc>
          <w:tcPr>
            <w:tcW w:w="335" w:type="pct"/>
            <w:tcBorders>
              <w:top w:val="single" w:sz="8" w:space="0" w:color="70CFEE"/>
              <w:left w:val="nil"/>
              <w:bottom w:val="single" w:sz="8" w:space="0" w:color="70CFEE"/>
              <w:right w:val="nil"/>
            </w:tcBorders>
            <w:shd w:val="clear" w:color="auto" w:fill="auto"/>
            <w:tcMar>
              <w:top w:w="72" w:type="dxa"/>
              <w:left w:w="144" w:type="dxa"/>
              <w:bottom w:w="72" w:type="dxa"/>
              <w:right w:w="144" w:type="dxa"/>
            </w:tcMar>
            <w:hideMark/>
          </w:tcPr>
          <w:p w:rsidR="00ED6531" w:rsidRPr="002E46A1" w:rsidRDefault="00ED6531" w:rsidP="00333337">
            <w:pPr>
              <w:pStyle w:val="LGTdoc"/>
              <w:spacing w:afterLines="0" w:line="240" w:lineRule="auto"/>
              <w:rPr>
                <w:sz w:val="20"/>
                <w:szCs w:val="22"/>
                <w:lang w:val="en-US"/>
              </w:rPr>
            </w:pPr>
            <w:r w:rsidRPr="002E46A1">
              <w:rPr>
                <w:b/>
                <w:bCs/>
                <w:sz w:val="20"/>
                <w:szCs w:val="22"/>
                <w:lang w:val="en-US"/>
              </w:rPr>
              <w:t>120</w:t>
            </w:r>
          </w:p>
        </w:tc>
        <w:tc>
          <w:tcPr>
            <w:tcW w:w="335" w:type="pct"/>
            <w:tcBorders>
              <w:top w:val="single" w:sz="8" w:space="0" w:color="70CFEE"/>
              <w:left w:val="nil"/>
              <w:bottom w:val="single" w:sz="8" w:space="0" w:color="70CFEE"/>
              <w:right w:val="nil"/>
            </w:tcBorders>
            <w:shd w:val="clear" w:color="auto" w:fill="auto"/>
            <w:tcMar>
              <w:top w:w="72" w:type="dxa"/>
              <w:left w:w="144" w:type="dxa"/>
              <w:bottom w:w="72" w:type="dxa"/>
              <w:right w:w="144" w:type="dxa"/>
            </w:tcMar>
            <w:hideMark/>
          </w:tcPr>
          <w:p w:rsidR="00ED6531" w:rsidRPr="002E46A1" w:rsidRDefault="00ED6531" w:rsidP="00333337">
            <w:pPr>
              <w:pStyle w:val="LGTdoc"/>
              <w:spacing w:afterLines="0" w:line="240" w:lineRule="auto"/>
              <w:rPr>
                <w:sz w:val="20"/>
                <w:szCs w:val="22"/>
                <w:lang w:val="en-US"/>
              </w:rPr>
            </w:pPr>
            <w:r w:rsidRPr="002E46A1">
              <w:rPr>
                <w:b/>
                <w:bCs/>
                <w:sz w:val="20"/>
                <w:szCs w:val="22"/>
                <w:lang w:val="en-US"/>
              </w:rPr>
              <w:t>144</w:t>
            </w:r>
          </w:p>
        </w:tc>
        <w:tc>
          <w:tcPr>
            <w:tcW w:w="335" w:type="pct"/>
            <w:tcBorders>
              <w:top w:val="single" w:sz="8" w:space="0" w:color="70CFEE"/>
              <w:left w:val="nil"/>
              <w:bottom w:val="single" w:sz="8" w:space="0" w:color="70CFEE"/>
              <w:right w:val="nil"/>
            </w:tcBorders>
            <w:shd w:val="clear" w:color="auto" w:fill="auto"/>
            <w:tcMar>
              <w:top w:w="72" w:type="dxa"/>
              <w:left w:w="144" w:type="dxa"/>
              <w:bottom w:w="72" w:type="dxa"/>
              <w:right w:w="144" w:type="dxa"/>
            </w:tcMar>
            <w:hideMark/>
          </w:tcPr>
          <w:p w:rsidR="00ED6531" w:rsidRPr="002E46A1" w:rsidRDefault="00ED6531" w:rsidP="00333337">
            <w:pPr>
              <w:pStyle w:val="LGTdoc"/>
              <w:spacing w:afterLines="0" w:line="240" w:lineRule="auto"/>
              <w:rPr>
                <w:sz w:val="20"/>
                <w:szCs w:val="22"/>
                <w:lang w:val="en-US"/>
              </w:rPr>
            </w:pPr>
            <w:r w:rsidRPr="002E46A1">
              <w:rPr>
                <w:b/>
                <w:bCs/>
                <w:sz w:val="20"/>
                <w:szCs w:val="22"/>
                <w:lang w:val="en-US"/>
              </w:rPr>
              <w:t>180</w:t>
            </w:r>
          </w:p>
        </w:tc>
        <w:tc>
          <w:tcPr>
            <w:tcW w:w="335" w:type="pct"/>
            <w:tcBorders>
              <w:top w:val="single" w:sz="8" w:space="0" w:color="70CFEE"/>
              <w:left w:val="nil"/>
              <w:bottom w:val="single" w:sz="8" w:space="0" w:color="70CFEE"/>
              <w:right w:val="nil"/>
            </w:tcBorders>
            <w:shd w:val="clear" w:color="auto" w:fill="auto"/>
            <w:tcMar>
              <w:top w:w="72" w:type="dxa"/>
              <w:left w:w="144" w:type="dxa"/>
              <w:bottom w:w="72" w:type="dxa"/>
              <w:right w:w="144" w:type="dxa"/>
            </w:tcMar>
            <w:hideMark/>
          </w:tcPr>
          <w:p w:rsidR="00ED6531" w:rsidRPr="002E46A1" w:rsidRDefault="00ED6531" w:rsidP="00333337">
            <w:pPr>
              <w:pStyle w:val="LGTdoc"/>
              <w:spacing w:afterLines="0" w:line="240" w:lineRule="auto"/>
              <w:rPr>
                <w:sz w:val="20"/>
                <w:szCs w:val="22"/>
                <w:lang w:val="en-US"/>
              </w:rPr>
            </w:pPr>
            <w:r w:rsidRPr="002E46A1">
              <w:rPr>
                <w:b/>
                <w:bCs/>
                <w:sz w:val="20"/>
                <w:szCs w:val="22"/>
                <w:lang w:val="en-US"/>
              </w:rPr>
              <w:t>192</w:t>
            </w:r>
          </w:p>
        </w:tc>
        <w:tc>
          <w:tcPr>
            <w:tcW w:w="335" w:type="pct"/>
            <w:tcBorders>
              <w:top w:val="single" w:sz="8" w:space="0" w:color="70CFEE"/>
              <w:left w:val="nil"/>
              <w:bottom w:val="single" w:sz="8" w:space="0" w:color="70CFEE"/>
              <w:right w:val="nil"/>
            </w:tcBorders>
            <w:shd w:val="clear" w:color="auto" w:fill="auto"/>
            <w:tcMar>
              <w:top w:w="72" w:type="dxa"/>
              <w:left w:w="144" w:type="dxa"/>
              <w:bottom w:w="72" w:type="dxa"/>
              <w:right w:w="144" w:type="dxa"/>
            </w:tcMar>
            <w:hideMark/>
          </w:tcPr>
          <w:p w:rsidR="00ED6531" w:rsidRPr="002E46A1" w:rsidRDefault="00ED6531" w:rsidP="00333337">
            <w:pPr>
              <w:pStyle w:val="LGTdoc"/>
              <w:spacing w:afterLines="0" w:line="240" w:lineRule="auto"/>
              <w:rPr>
                <w:sz w:val="20"/>
                <w:szCs w:val="22"/>
                <w:lang w:val="en-US"/>
              </w:rPr>
            </w:pPr>
            <w:r w:rsidRPr="002E46A1">
              <w:rPr>
                <w:b/>
                <w:bCs/>
                <w:sz w:val="20"/>
                <w:szCs w:val="22"/>
                <w:lang w:val="en-US"/>
              </w:rPr>
              <w:t>240</w:t>
            </w:r>
          </w:p>
        </w:tc>
        <w:tc>
          <w:tcPr>
            <w:tcW w:w="335" w:type="pct"/>
            <w:tcBorders>
              <w:top w:val="single" w:sz="8" w:space="0" w:color="70CFEE"/>
              <w:left w:val="nil"/>
              <w:bottom w:val="single" w:sz="8" w:space="0" w:color="70CFEE"/>
              <w:right w:val="nil"/>
            </w:tcBorders>
            <w:shd w:val="clear" w:color="auto" w:fill="auto"/>
            <w:tcMar>
              <w:top w:w="72" w:type="dxa"/>
              <w:left w:w="144" w:type="dxa"/>
              <w:bottom w:w="72" w:type="dxa"/>
              <w:right w:w="144" w:type="dxa"/>
            </w:tcMar>
            <w:hideMark/>
          </w:tcPr>
          <w:p w:rsidR="00ED6531" w:rsidRPr="002E46A1" w:rsidRDefault="00ED6531" w:rsidP="00333337">
            <w:pPr>
              <w:pStyle w:val="LGTdoc"/>
              <w:spacing w:afterLines="0" w:line="240" w:lineRule="auto"/>
              <w:rPr>
                <w:sz w:val="20"/>
                <w:szCs w:val="22"/>
                <w:lang w:val="en-US"/>
              </w:rPr>
            </w:pPr>
            <w:r w:rsidRPr="002E46A1">
              <w:rPr>
                <w:b/>
                <w:bCs/>
                <w:sz w:val="20"/>
                <w:szCs w:val="22"/>
                <w:lang w:val="en-US"/>
              </w:rPr>
              <w:t>288</w:t>
            </w:r>
          </w:p>
        </w:tc>
      </w:tr>
      <w:tr w:rsidR="00ED6531" w:rsidRPr="002E46A1" w:rsidTr="00ED6531">
        <w:trPr>
          <w:trHeight w:val="281"/>
        </w:trPr>
        <w:tc>
          <w:tcPr>
            <w:tcW w:w="980" w:type="pct"/>
            <w:tcBorders>
              <w:top w:val="single" w:sz="8" w:space="0" w:color="70CFEE"/>
              <w:left w:val="nil"/>
              <w:bottom w:val="single" w:sz="8" w:space="0" w:color="70CFEE"/>
              <w:right w:val="nil"/>
            </w:tcBorders>
            <w:shd w:val="clear" w:color="auto" w:fill="EBF6FC"/>
            <w:tcMar>
              <w:top w:w="72" w:type="dxa"/>
              <w:left w:w="144" w:type="dxa"/>
              <w:bottom w:w="72" w:type="dxa"/>
              <w:right w:w="144" w:type="dxa"/>
            </w:tcMar>
            <w:hideMark/>
          </w:tcPr>
          <w:p w:rsidR="00ED6531" w:rsidRPr="002E46A1" w:rsidRDefault="00ED6531" w:rsidP="00333337">
            <w:pPr>
              <w:pStyle w:val="LGTdoc"/>
              <w:spacing w:afterLines="0" w:line="240" w:lineRule="auto"/>
              <w:jc w:val="center"/>
              <w:rPr>
                <w:sz w:val="20"/>
                <w:szCs w:val="22"/>
                <w:lang w:val="en-US"/>
              </w:rPr>
            </w:pPr>
            <w:r>
              <w:rPr>
                <w:sz w:val="20"/>
                <w:szCs w:val="22"/>
                <w:lang w:val="en-US"/>
              </w:rPr>
              <w:t>Collision Probability</w:t>
            </w:r>
          </w:p>
        </w:tc>
        <w:tc>
          <w:tcPr>
            <w:tcW w:w="335" w:type="pct"/>
            <w:tcBorders>
              <w:top w:val="single" w:sz="8" w:space="0" w:color="70CFEE"/>
              <w:left w:val="nil"/>
              <w:bottom w:val="single" w:sz="8" w:space="0" w:color="70CFEE"/>
              <w:right w:val="nil"/>
            </w:tcBorders>
            <w:shd w:val="clear" w:color="auto" w:fill="EBF6FC"/>
            <w:tcMar>
              <w:top w:w="72" w:type="dxa"/>
              <w:left w:w="144" w:type="dxa"/>
              <w:bottom w:w="72" w:type="dxa"/>
              <w:right w:w="144" w:type="dxa"/>
            </w:tcMar>
            <w:hideMark/>
          </w:tcPr>
          <w:p w:rsidR="00ED6531" w:rsidRPr="002E46A1" w:rsidRDefault="00ED6531" w:rsidP="00333337">
            <w:pPr>
              <w:pStyle w:val="LGTdoc"/>
              <w:spacing w:afterLines="0" w:line="240" w:lineRule="auto"/>
              <w:rPr>
                <w:sz w:val="20"/>
                <w:szCs w:val="22"/>
                <w:lang w:val="en-US"/>
              </w:rPr>
            </w:pPr>
            <w:r>
              <w:rPr>
                <w:sz w:val="20"/>
                <w:szCs w:val="22"/>
                <w:lang w:val="en-US"/>
              </w:rPr>
              <w:t>100%</w:t>
            </w:r>
          </w:p>
        </w:tc>
        <w:tc>
          <w:tcPr>
            <w:tcW w:w="335" w:type="pct"/>
            <w:tcBorders>
              <w:top w:val="single" w:sz="8" w:space="0" w:color="70CFEE"/>
              <w:left w:val="nil"/>
              <w:bottom w:val="single" w:sz="8" w:space="0" w:color="70CFEE"/>
              <w:right w:val="nil"/>
            </w:tcBorders>
            <w:shd w:val="clear" w:color="auto" w:fill="EBF6FC"/>
            <w:tcMar>
              <w:top w:w="72" w:type="dxa"/>
              <w:left w:w="144" w:type="dxa"/>
              <w:bottom w:w="72" w:type="dxa"/>
              <w:right w:w="144" w:type="dxa"/>
            </w:tcMar>
            <w:hideMark/>
          </w:tcPr>
          <w:p w:rsidR="00ED6531" w:rsidRPr="002E46A1" w:rsidRDefault="00ED6531" w:rsidP="00333337">
            <w:pPr>
              <w:pStyle w:val="LGTdoc"/>
              <w:spacing w:afterLines="0" w:line="240" w:lineRule="auto"/>
              <w:rPr>
                <w:sz w:val="20"/>
                <w:szCs w:val="22"/>
                <w:lang w:val="en-US"/>
              </w:rPr>
            </w:pPr>
            <w:r>
              <w:rPr>
                <w:sz w:val="20"/>
                <w:szCs w:val="22"/>
                <w:lang w:val="en-US"/>
              </w:rPr>
              <w:t>73%</w:t>
            </w:r>
          </w:p>
        </w:tc>
        <w:tc>
          <w:tcPr>
            <w:tcW w:w="335" w:type="pct"/>
            <w:tcBorders>
              <w:top w:val="single" w:sz="8" w:space="0" w:color="70CFEE"/>
              <w:left w:val="nil"/>
              <w:bottom w:val="single" w:sz="8" w:space="0" w:color="70CFEE"/>
              <w:right w:val="nil"/>
            </w:tcBorders>
            <w:shd w:val="clear" w:color="auto" w:fill="EBF6FC"/>
            <w:tcMar>
              <w:top w:w="72" w:type="dxa"/>
              <w:left w:w="144" w:type="dxa"/>
              <w:bottom w:w="72" w:type="dxa"/>
              <w:right w:w="144" w:type="dxa"/>
            </w:tcMar>
            <w:hideMark/>
          </w:tcPr>
          <w:p w:rsidR="00ED6531" w:rsidRPr="002E46A1" w:rsidRDefault="00ED6531" w:rsidP="00333337">
            <w:pPr>
              <w:pStyle w:val="LGTdoc"/>
              <w:spacing w:afterLines="0" w:line="240" w:lineRule="auto"/>
              <w:rPr>
                <w:sz w:val="20"/>
                <w:szCs w:val="22"/>
                <w:lang w:val="en-US"/>
              </w:rPr>
            </w:pPr>
            <w:r>
              <w:rPr>
                <w:sz w:val="20"/>
                <w:szCs w:val="22"/>
                <w:lang w:val="en-US"/>
              </w:rPr>
              <w:t>53%</w:t>
            </w:r>
          </w:p>
        </w:tc>
        <w:tc>
          <w:tcPr>
            <w:tcW w:w="335" w:type="pct"/>
            <w:tcBorders>
              <w:top w:val="single" w:sz="8" w:space="0" w:color="70CFEE"/>
              <w:left w:val="nil"/>
              <w:bottom w:val="single" w:sz="8" w:space="0" w:color="70CFEE"/>
              <w:right w:val="nil"/>
            </w:tcBorders>
            <w:shd w:val="clear" w:color="auto" w:fill="EBF6FC"/>
            <w:tcMar>
              <w:top w:w="72" w:type="dxa"/>
              <w:left w:w="144" w:type="dxa"/>
              <w:bottom w:w="72" w:type="dxa"/>
              <w:right w:w="144" w:type="dxa"/>
            </w:tcMar>
            <w:hideMark/>
          </w:tcPr>
          <w:p w:rsidR="00ED6531" w:rsidRPr="002E46A1" w:rsidRDefault="00ED6531" w:rsidP="00333337">
            <w:pPr>
              <w:pStyle w:val="LGTdoc"/>
              <w:spacing w:afterLines="0" w:line="240" w:lineRule="auto"/>
              <w:rPr>
                <w:sz w:val="20"/>
                <w:szCs w:val="22"/>
                <w:lang w:val="en-US"/>
              </w:rPr>
            </w:pPr>
            <w:r>
              <w:rPr>
                <w:sz w:val="20"/>
                <w:szCs w:val="22"/>
                <w:lang w:val="en-US"/>
              </w:rPr>
              <w:t>33%</w:t>
            </w:r>
          </w:p>
        </w:tc>
        <w:tc>
          <w:tcPr>
            <w:tcW w:w="335" w:type="pct"/>
            <w:tcBorders>
              <w:top w:val="single" w:sz="8" w:space="0" w:color="70CFEE"/>
              <w:left w:val="nil"/>
              <w:bottom w:val="single" w:sz="8" w:space="0" w:color="70CFEE"/>
              <w:right w:val="nil"/>
            </w:tcBorders>
            <w:shd w:val="clear" w:color="auto" w:fill="EBF6FC"/>
            <w:tcMar>
              <w:top w:w="72" w:type="dxa"/>
              <w:left w:w="144" w:type="dxa"/>
              <w:bottom w:w="72" w:type="dxa"/>
              <w:right w:w="144" w:type="dxa"/>
            </w:tcMar>
            <w:hideMark/>
          </w:tcPr>
          <w:p w:rsidR="00ED6531" w:rsidRPr="002E46A1" w:rsidRDefault="00ED6531" w:rsidP="00333337">
            <w:pPr>
              <w:pStyle w:val="LGTdoc"/>
              <w:spacing w:afterLines="0" w:line="240" w:lineRule="auto"/>
              <w:rPr>
                <w:sz w:val="20"/>
                <w:szCs w:val="22"/>
                <w:lang w:val="en-US"/>
              </w:rPr>
            </w:pPr>
            <w:r>
              <w:rPr>
                <w:sz w:val="20"/>
                <w:szCs w:val="22"/>
                <w:lang w:val="en-US"/>
              </w:rPr>
              <w:t>20%</w:t>
            </w:r>
          </w:p>
        </w:tc>
        <w:tc>
          <w:tcPr>
            <w:tcW w:w="335" w:type="pct"/>
            <w:tcBorders>
              <w:top w:val="single" w:sz="8" w:space="0" w:color="70CFEE"/>
              <w:left w:val="nil"/>
              <w:bottom w:val="single" w:sz="8" w:space="0" w:color="70CFEE"/>
              <w:right w:val="nil"/>
            </w:tcBorders>
            <w:shd w:val="clear" w:color="auto" w:fill="EBF6FC"/>
            <w:tcMar>
              <w:top w:w="72" w:type="dxa"/>
              <w:left w:w="144" w:type="dxa"/>
              <w:bottom w:w="72" w:type="dxa"/>
              <w:right w:w="144" w:type="dxa"/>
            </w:tcMar>
            <w:hideMark/>
          </w:tcPr>
          <w:p w:rsidR="00ED6531" w:rsidRPr="002E46A1" w:rsidRDefault="00ED6531" w:rsidP="00333337">
            <w:pPr>
              <w:pStyle w:val="LGTdoc"/>
              <w:spacing w:afterLines="0" w:line="240" w:lineRule="auto"/>
              <w:rPr>
                <w:sz w:val="20"/>
                <w:szCs w:val="22"/>
                <w:lang w:val="en-US"/>
              </w:rPr>
            </w:pPr>
            <w:r>
              <w:rPr>
                <w:sz w:val="20"/>
                <w:szCs w:val="22"/>
                <w:lang w:val="en-US"/>
              </w:rPr>
              <w:t>20%</w:t>
            </w:r>
          </w:p>
        </w:tc>
        <w:tc>
          <w:tcPr>
            <w:tcW w:w="335" w:type="pct"/>
            <w:tcBorders>
              <w:top w:val="single" w:sz="8" w:space="0" w:color="70CFEE"/>
              <w:left w:val="nil"/>
              <w:bottom w:val="single" w:sz="8" w:space="0" w:color="70CFEE"/>
              <w:right w:val="nil"/>
            </w:tcBorders>
            <w:shd w:val="clear" w:color="auto" w:fill="EBF6FC"/>
            <w:tcMar>
              <w:top w:w="72" w:type="dxa"/>
              <w:left w:w="144" w:type="dxa"/>
              <w:bottom w:w="72" w:type="dxa"/>
              <w:right w:w="144" w:type="dxa"/>
            </w:tcMar>
            <w:hideMark/>
          </w:tcPr>
          <w:p w:rsidR="00ED6531" w:rsidRPr="002E46A1" w:rsidRDefault="00ED6531" w:rsidP="00333337">
            <w:pPr>
              <w:pStyle w:val="LGTdoc"/>
              <w:spacing w:afterLines="0" w:line="240" w:lineRule="auto"/>
              <w:rPr>
                <w:sz w:val="20"/>
                <w:szCs w:val="22"/>
                <w:lang w:val="en-US"/>
              </w:rPr>
            </w:pPr>
            <w:r>
              <w:rPr>
                <w:sz w:val="20"/>
                <w:szCs w:val="22"/>
                <w:lang w:val="en-US"/>
              </w:rPr>
              <w:t>20%</w:t>
            </w:r>
          </w:p>
        </w:tc>
        <w:tc>
          <w:tcPr>
            <w:tcW w:w="335" w:type="pct"/>
            <w:tcBorders>
              <w:top w:val="single" w:sz="8" w:space="0" w:color="70CFEE"/>
              <w:left w:val="nil"/>
              <w:bottom w:val="single" w:sz="8" w:space="0" w:color="70CFEE"/>
              <w:right w:val="nil"/>
            </w:tcBorders>
            <w:shd w:val="clear" w:color="auto" w:fill="EBF6FC"/>
            <w:tcMar>
              <w:top w:w="72" w:type="dxa"/>
              <w:left w:w="144" w:type="dxa"/>
              <w:bottom w:w="72" w:type="dxa"/>
              <w:right w:w="144" w:type="dxa"/>
            </w:tcMar>
            <w:hideMark/>
          </w:tcPr>
          <w:p w:rsidR="00ED6531" w:rsidRPr="002E46A1" w:rsidRDefault="00ED6531" w:rsidP="00333337">
            <w:pPr>
              <w:pStyle w:val="LGTdoc"/>
              <w:spacing w:afterLines="0" w:line="240" w:lineRule="auto"/>
              <w:rPr>
                <w:sz w:val="20"/>
                <w:szCs w:val="22"/>
                <w:lang w:val="en-US"/>
              </w:rPr>
            </w:pPr>
            <w:r>
              <w:rPr>
                <w:sz w:val="20"/>
                <w:szCs w:val="22"/>
                <w:lang w:val="en-US"/>
              </w:rPr>
              <w:t>20%</w:t>
            </w:r>
          </w:p>
        </w:tc>
        <w:tc>
          <w:tcPr>
            <w:tcW w:w="335" w:type="pct"/>
            <w:tcBorders>
              <w:top w:val="single" w:sz="8" w:space="0" w:color="70CFEE"/>
              <w:left w:val="nil"/>
              <w:bottom w:val="single" w:sz="8" w:space="0" w:color="70CFEE"/>
              <w:right w:val="nil"/>
            </w:tcBorders>
            <w:shd w:val="clear" w:color="auto" w:fill="EBF6FC"/>
            <w:tcMar>
              <w:top w:w="72" w:type="dxa"/>
              <w:left w:w="144" w:type="dxa"/>
              <w:bottom w:w="72" w:type="dxa"/>
              <w:right w:w="144" w:type="dxa"/>
            </w:tcMar>
            <w:hideMark/>
          </w:tcPr>
          <w:p w:rsidR="00ED6531" w:rsidRPr="002E46A1" w:rsidRDefault="00ED6531" w:rsidP="00333337">
            <w:pPr>
              <w:pStyle w:val="LGTdoc"/>
              <w:spacing w:afterLines="0" w:line="240" w:lineRule="auto"/>
              <w:rPr>
                <w:sz w:val="20"/>
                <w:szCs w:val="22"/>
                <w:lang w:val="en-US"/>
              </w:rPr>
            </w:pPr>
            <w:r>
              <w:rPr>
                <w:sz w:val="20"/>
                <w:szCs w:val="22"/>
                <w:lang w:val="en-US"/>
              </w:rPr>
              <w:t>20%</w:t>
            </w:r>
          </w:p>
        </w:tc>
        <w:tc>
          <w:tcPr>
            <w:tcW w:w="335" w:type="pct"/>
            <w:tcBorders>
              <w:top w:val="single" w:sz="8" w:space="0" w:color="70CFEE"/>
              <w:left w:val="nil"/>
              <w:bottom w:val="single" w:sz="8" w:space="0" w:color="70CFEE"/>
              <w:right w:val="nil"/>
            </w:tcBorders>
            <w:shd w:val="clear" w:color="auto" w:fill="EBF6FC"/>
            <w:tcMar>
              <w:top w:w="72" w:type="dxa"/>
              <w:left w:w="144" w:type="dxa"/>
              <w:bottom w:w="72" w:type="dxa"/>
              <w:right w:w="144" w:type="dxa"/>
            </w:tcMar>
            <w:hideMark/>
          </w:tcPr>
          <w:p w:rsidR="00ED6531" w:rsidRPr="002E46A1" w:rsidRDefault="00ED6531" w:rsidP="00333337">
            <w:pPr>
              <w:pStyle w:val="LGTdoc"/>
              <w:spacing w:afterLines="0" w:line="240" w:lineRule="auto"/>
              <w:rPr>
                <w:sz w:val="20"/>
                <w:szCs w:val="22"/>
                <w:lang w:val="en-US"/>
              </w:rPr>
            </w:pPr>
            <w:r>
              <w:rPr>
                <w:sz w:val="20"/>
                <w:szCs w:val="22"/>
                <w:lang w:val="en-US"/>
              </w:rPr>
              <w:t>20%</w:t>
            </w:r>
          </w:p>
        </w:tc>
        <w:tc>
          <w:tcPr>
            <w:tcW w:w="335" w:type="pct"/>
            <w:tcBorders>
              <w:top w:val="single" w:sz="8" w:space="0" w:color="70CFEE"/>
              <w:left w:val="nil"/>
              <w:bottom w:val="single" w:sz="8" w:space="0" w:color="70CFEE"/>
              <w:right w:val="nil"/>
            </w:tcBorders>
            <w:shd w:val="clear" w:color="auto" w:fill="EBF6FC"/>
            <w:tcMar>
              <w:top w:w="72" w:type="dxa"/>
              <w:left w:w="144" w:type="dxa"/>
              <w:bottom w:w="72" w:type="dxa"/>
              <w:right w:w="144" w:type="dxa"/>
            </w:tcMar>
            <w:hideMark/>
          </w:tcPr>
          <w:p w:rsidR="00ED6531" w:rsidRPr="002E46A1" w:rsidRDefault="00ED6531" w:rsidP="00333337">
            <w:pPr>
              <w:pStyle w:val="LGTdoc"/>
              <w:spacing w:afterLines="0" w:line="240" w:lineRule="auto"/>
              <w:rPr>
                <w:sz w:val="20"/>
                <w:szCs w:val="22"/>
                <w:lang w:val="en-US"/>
              </w:rPr>
            </w:pPr>
            <w:r>
              <w:rPr>
                <w:sz w:val="20"/>
                <w:szCs w:val="22"/>
                <w:lang w:val="en-US"/>
              </w:rPr>
              <w:t>20%</w:t>
            </w:r>
          </w:p>
        </w:tc>
        <w:tc>
          <w:tcPr>
            <w:tcW w:w="335" w:type="pct"/>
            <w:tcBorders>
              <w:top w:val="single" w:sz="8" w:space="0" w:color="70CFEE"/>
              <w:left w:val="nil"/>
              <w:bottom w:val="single" w:sz="8" w:space="0" w:color="70CFEE"/>
              <w:right w:val="nil"/>
            </w:tcBorders>
            <w:shd w:val="clear" w:color="auto" w:fill="EBF6FC"/>
            <w:tcMar>
              <w:top w:w="72" w:type="dxa"/>
              <w:left w:w="144" w:type="dxa"/>
              <w:bottom w:w="72" w:type="dxa"/>
              <w:right w:w="144" w:type="dxa"/>
            </w:tcMar>
            <w:hideMark/>
          </w:tcPr>
          <w:p w:rsidR="00ED6531" w:rsidRPr="002E46A1" w:rsidRDefault="00ED6531" w:rsidP="00333337">
            <w:pPr>
              <w:pStyle w:val="LGTdoc"/>
              <w:spacing w:afterLines="0" w:line="240" w:lineRule="auto"/>
              <w:rPr>
                <w:sz w:val="20"/>
                <w:szCs w:val="22"/>
                <w:lang w:val="en-US"/>
              </w:rPr>
            </w:pPr>
            <w:r>
              <w:rPr>
                <w:sz w:val="20"/>
                <w:szCs w:val="22"/>
                <w:lang w:val="en-US"/>
              </w:rPr>
              <w:t>20%</w:t>
            </w:r>
          </w:p>
        </w:tc>
      </w:tr>
    </w:tbl>
    <w:p w:rsidR="00915774" w:rsidRDefault="00915774" w:rsidP="00915774">
      <w:pPr>
        <w:rPr>
          <w:sz w:val="22"/>
          <w:szCs w:val="22"/>
        </w:rPr>
      </w:pPr>
    </w:p>
    <w:p w:rsidR="00915774" w:rsidRDefault="007230E5" w:rsidP="000C0F2F">
      <w:pPr>
        <w:pStyle w:val="LGTdoc"/>
        <w:spacing w:afterLines="0" w:line="312" w:lineRule="auto"/>
        <w:jc w:val="center"/>
        <w:rPr>
          <w:szCs w:val="22"/>
          <w:lang w:eastAsia="ja-JP"/>
        </w:rPr>
      </w:pPr>
      <w:r>
        <w:rPr>
          <w:noProof/>
          <w:szCs w:val="22"/>
          <w:lang w:val="en-US" w:eastAsia="en-US"/>
        </w:rPr>
        <w:drawing>
          <wp:inline distT="0" distB="0" distL="0" distR="0" wp14:anchorId="34C07D6D">
            <wp:extent cx="5733830" cy="4265979"/>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3490" cy="4280606"/>
                    </a:xfrm>
                    <a:prstGeom prst="rect">
                      <a:avLst/>
                    </a:prstGeom>
                    <a:noFill/>
                  </pic:spPr>
                </pic:pic>
              </a:graphicData>
            </a:graphic>
          </wp:inline>
        </w:drawing>
      </w:r>
    </w:p>
    <w:p w:rsidR="000C0F2F" w:rsidRDefault="000C0F2F" w:rsidP="000C0F2F">
      <w:pPr>
        <w:pStyle w:val="LGTdoc"/>
        <w:spacing w:afterLines="0" w:line="312" w:lineRule="auto"/>
        <w:jc w:val="center"/>
        <w:rPr>
          <w:szCs w:val="22"/>
          <w:lang w:eastAsia="ja-JP"/>
        </w:rPr>
      </w:pPr>
      <w:r>
        <w:rPr>
          <w:szCs w:val="22"/>
          <w:lang w:eastAsia="ja-JP"/>
        </w:rPr>
        <w:t>Figure1: SRS sequence collision (copied from [2])</w:t>
      </w:r>
    </w:p>
    <w:p w:rsidR="00281957" w:rsidRDefault="00281957" w:rsidP="00281957">
      <w:pPr>
        <w:jc w:val="both"/>
        <w:rPr>
          <w:sz w:val="22"/>
          <w:szCs w:val="22"/>
        </w:rPr>
      </w:pPr>
      <w:r w:rsidRPr="00920E46">
        <w:rPr>
          <w:sz w:val="22"/>
          <w:szCs w:val="22"/>
        </w:rPr>
        <w:t xml:space="preserve">We further </w:t>
      </w:r>
      <w:r w:rsidR="00843404">
        <w:rPr>
          <w:sz w:val="22"/>
          <w:szCs w:val="22"/>
        </w:rPr>
        <w:t>investigate</w:t>
      </w:r>
      <w:r w:rsidRPr="00920E46">
        <w:rPr>
          <w:sz w:val="22"/>
          <w:szCs w:val="22"/>
        </w:rPr>
        <w:t xml:space="preserve"> the SRS sequence collisio</w:t>
      </w:r>
      <w:r w:rsidR="00843404">
        <w:rPr>
          <w:sz w:val="22"/>
          <w:szCs w:val="22"/>
        </w:rPr>
        <w:t xml:space="preserve">n probability between a number of adjacent </w:t>
      </w:r>
      <w:r w:rsidRPr="00920E46">
        <w:rPr>
          <w:sz w:val="22"/>
          <w:szCs w:val="22"/>
        </w:rPr>
        <w:t xml:space="preserve">cells with different cell ID or different </w:t>
      </w:r>
      <w:r w:rsidRPr="00920E46">
        <w:rPr>
          <w:i/>
          <w:sz w:val="22"/>
          <w:szCs w:val="22"/>
        </w:rPr>
        <w:t>u</w:t>
      </w:r>
      <w:r w:rsidRPr="00920E46">
        <w:rPr>
          <w:sz w:val="22"/>
          <w:szCs w:val="22"/>
        </w:rPr>
        <w:t xml:space="preserve">. The collision is defined when any </w:t>
      </w:r>
      <w:r w:rsidR="00843404">
        <w:rPr>
          <w:sz w:val="22"/>
          <w:szCs w:val="22"/>
        </w:rPr>
        <w:t>one neighbouring</w:t>
      </w:r>
      <w:r w:rsidRPr="00920E46">
        <w:rPr>
          <w:sz w:val="22"/>
          <w:szCs w:val="22"/>
        </w:rPr>
        <w:t xml:space="preserve"> cell meet</w:t>
      </w:r>
      <m:oMath>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1</m:t>
            </m:r>
          </m:sub>
        </m:sSub>
        <m:r>
          <w:rPr>
            <w:rFonts w:ascii="Cambria Math" w:hAnsi="Cambria Math"/>
            <w:sz w:val="22"/>
            <w:szCs w:val="22"/>
          </w:rPr>
          <m:t>=mod</m:t>
        </m:r>
        <m:d>
          <m:dPr>
            <m:ctrlPr>
              <w:rPr>
                <w:rFonts w:ascii="Cambria Math" w:hAnsi="Cambria Math"/>
                <w:i/>
                <w:sz w:val="22"/>
                <w:szCs w:val="22"/>
              </w:rPr>
            </m:ctrlPr>
          </m:dPr>
          <m:e>
            <m:r>
              <w:rPr>
                <w:rFonts w:ascii="Cambria Math" w:hAnsi="Cambria Math"/>
                <w:sz w:val="22"/>
                <w:szCs w:val="22"/>
              </w:rPr>
              <m:t>4∙</m:t>
            </m:r>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2</m:t>
                </m:r>
              </m:sub>
            </m:sSub>
            <m:r>
              <w:rPr>
                <w:rFonts w:ascii="Cambria Math" w:hAnsi="Cambria Math"/>
                <w:sz w:val="22"/>
                <w:szCs w:val="22"/>
              </w:rPr>
              <m:t xml:space="preserve">,  </m:t>
            </m:r>
            <m:sSubSup>
              <m:sSubSupPr>
                <m:ctrlPr>
                  <w:rPr>
                    <w:rFonts w:ascii="Cambria Math" w:hAnsi="Cambria Math"/>
                    <w:i/>
                    <w:sz w:val="22"/>
                    <w:szCs w:val="22"/>
                    <w:lang w:eastAsia="ja-JP"/>
                  </w:rPr>
                </m:ctrlPr>
              </m:sSubSupPr>
              <m:e>
                <m:r>
                  <w:rPr>
                    <w:rFonts w:ascii="Cambria Math" w:hAnsi="Cambria Math"/>
                    <w:sz w:val="22"/>
                    <w:szCs w:val="22"/>
                    <w:lang w:eastAsia="ja-JP"/>
                  </w:rPr>
                  <m:t>N</m:t>
                </m:r>
              </m:e>
              <m:sub>
                <m:r>
                  <w:rPr>
                    <w:rFonts w:ascii="Cambria Math" w:hAnsi="Cambria Math"/>
                    <w:sz w:val="22"/>
                    <w:szCs w:val="22"/>
                    <w:lang w:eastAsia="ja-JP"/>
                  </w:rPr>
                  <m:t>ZC</m:t>
                </m:r>
              </m:sub>
              <m:sup>
                <m:r>
                  <w:rPr>
                    <w:rFonts w:ascii="Cambria Math" w:hAnsi="Cambria Math"/>
                    <w:sz w:val="22"/>
                    <w:szCs w:val="22"/>
                    <w:lang w:eastAsia="ja-JP"/>
                  </w:rPr>
                  <m:t>RS</m:t>
                </m:r>
              </m:sup>
            </m:sSubSup>
            <m:ctrlPr>
              <w:rPr>
                <w:rFonts w:ascii="Cambria Math" w:hAnsi="Cambria Math"/>
                <w:i/>
                <w:sz w:val="22"/>
                <w:szCs w:val="22"/>
                <w:lang w:eastAsia="ja-JP"/>
              </w:rPr>
            </m:ctrlPr>
          </m:e>
        </m:d>
      </m:oMath>
      <w:r w:rsidRPr="00920E46">
        <w:rPr>
          <w:sz w:val="22"/>
          <w:szCs w:val="22"/>
          <w:lang w:eastAsia="ja-JP"/>
        </w:rPr>
        <w:t xml:space="preserve">. </w:t>
      </w:r>
      <w:r w:rsidRPr="00920E46">
        <w:rPr>
          <w:sz w:val="22"/>
          <w:szCs w:val="22"/>
        </w:rPr>
        <w:t xml:space="preserve">Table </w:t>
      </w:r>
      <w:r>
        <w:rPr>
          <w:sz w:val="22"/>
          <w:szCs w:val="22"/>
        </w:rPr>
        <w:t>2</w:t>
      </w:r>
      <w:r w:rsidRPr="00920E46">
        <w:rPr>
          <w:sz w:val="22"/>
          <w:szCs w:val="22"/>
        </w:rPr>
        <w:t xml:space="preserve"> shows the collision probability </w:t>
      </w:r>
      <w:r>
        <w:rPr>
          <w:sz w:val="22"/>
          <w:szCs w:val="22"/>
        </w:rPr>
        <w:t>when</w:t>
      </w:r>
      <w:r w:rsidRPr="00920E46">
        <w:rPr>
          <w:sz w:val="22"/>
          <w:szCs w:val="22"/>
        </w:rPr>
        <w:t xml:space="preserve"> the cell ID is randomly assigned to each cell, assuming </w:t>
      </w:r>
      <w:r>
        <w:rPr>
          <w:sz w:val="22"/>
          <w:szCs w:val="22"/>
        </w:rPr>
        <w:t xml:space="preserve">same </w:t>
      </w:r>
      <w:r w:rsidRPr="00920E46">
        <w:rPr>
          <w:sz w:val="22"/>
          <w:szCs w:val="22"/>
        </w:rPr>
        <w:t>SR</w:t>
      </w:r>
      <w:r>
        <w:rPr>
          <w:sz w:val="22"/>
          <w:szCs w:val="22"/>
        </w:rPr>
        <w:t xml:space="preserve">S sequence length for each cell. </w:t>
      </w:r>
      <w:r w:rsidRPr="00920E46">
        <w:rPr>
          <w:sz w:val="22"/>
          <w:szCs w:val="22"/>
        </w:rPr>
        <w:t xml:space="preserve">We can see the </w:t>
      </w:r>
      <w:r>
        <w:rPr>
          <w:sz w:val="22"/>
          <w:szCs w:val="22"/>
        </w:rPr>
        <w:t xml:space="preserve">SRS sequence collision probability can be </w:t>
      </w:r>
      <w:r w:rsidR="00843404">
        <w:rPr>
          <w:sz w:val="22"/>
          <w:szCs w:val="22"/>
        </w:rPr>
        <w:t>about</w:t>
      </w:r>
      <w:r>
        <w:rPr>
          <w:sz w:val="22"/>
          <w:szCs w:val="22"/>
        </w:rPr>
        <w:t xml:space="preserve"> </w:t>
      </w:r>
      <w:r w:rsidR="00843404">
        <w:rPr>
          <w:sz w:val="22"/>
          <w:szCs w:val="22"/>
        </w:rPr>
        <w:t>3</w:t>
      </w:r>
      <w:r>
        <w:rPr>
          <w:sz w:val="22"/>
          <w:szCs w:val="22"/>
        </w:rPr>
        <w:t xml:space="preserve">0% for small sequence length </w:t>
      </w:r>
      <m:oMath>
        <m:sSubSup>
          <m:sSubSupPr>
            <m:ctrlPr>
              <w:rPr>
                <w:rFonts w:ascii="Cambria Math" w:hAnsi="Cambria Math"/>
                <w:i/>
                <w:szCs w:val="22"/>
                <w:lang w:val="en-US"/>
              </w:rPr>
            </m:ctrlPr>
          </m:sSubSupPr>
          <m:e>
            <m:r>
              <w:rPr>
                <w:rFonts w:ascii="Cambria Math" w:hAnsi="Cambria Math"/>
                <w:szCs w:val="22"/>
                <w:lang w:val="en-US"/>
              </w:rPr>
              <m:t>M</m:t>
            </m:r>
          </m:e>
          <m:sub>
            <m:r>
              <w:rPr>
                <w:rFonts w:ascii="Cambria Math" w:hAnsi="Cambria Math"/>
                <w:szCs w:val="22"/>
                <w:lang w:val="en-US"/>
              </w:rPr>
              <m:t>sc</m:t>
            </m:r>
          </m:sub>
          <m:sup>
            <m:r>
              <w:rPr>
                <w:rFonts w:ascii="Cambria Math" w:hAnsi="Cambria Math"/>
                <w:szCs w:val="22"/>
                <w:lang w:val="en-US"/>
              </w:rPr>
              <m:t>RS</m:t>
            </m:r>
          </m:sup>
        </m:sSubSup>
      </m:oMath>
      <w:r>
        <w:rPr>
          <w:sz w:val="22"/>
          <w:szCs w:val="22"/>
        </w:rPr>
        <w:t xml:space="preserve"> = 36 and 48, and the collision probability is reduced to less than 10% for a larger sequence length</w:t>
      </w:r>
      <w:r w:rsidR="00843404">
        <w:rPr>
          <w:sz w:val="22"/>
          <w:szCs w:val="22"/>
        </w:rPr>
        <w:t xml:space="preserve"> for the assumption of 6 neighbouring cells</w:t>
      </w:r>
      <w:r>
        <w:rPr>
          <w:sz w:val="22"/>
          <w:szCs w:val="22"/>
        </w:rPr>
        <w:t xml:space="preserve">. </w:t>
      </w:r>
    </w:p>
    <w:p w:rsidR="00281957" w:rsidRDefault="00281957" w:rsidP="00281957">
      <w:pPr>
        <w:pStyle w:val="LGTdoc"/>
        <w:spacing w:afterLines="0" w:line="312" w:lineRule="auto"/>
        <w:jc w:val="center"/>
        <w:rPr>
          <w:rFonts w:eastAsia="SimSun"/>
          <w:b/>
          <w:szCs w:val="20"/>
          <w:lang w:eastAsia="zh-CN"/>
        </w:rPr>
      </w:pPr>
      <w:r w:rsidRPr="002E46A1">
        <w:rPr>
          <w:rFonts w:eastAsia="SimSun"/>
          <w:b/>
          <w:szCs w:val="20"/>
          <w:lang w:eastAsia="zh-CN"/>
        </w:rPr>
        <w:t xml:space="preserve">Table </w:t>
      </w:r>
      <w:r>
        <w:rPr>
          <w:rFonts w:eastAsia="SimSun"/>
          <w:b/>
          <w:szCs w:val="20"/>
          <w:lang w:eastAsia="zh-CN"/>
        </w:rPr>
        <w:t>2</w:t>
      </w:r>
      <w:r w:rsidRPr="002E46A1">
        <w:rPr>
          <w:rFonts w:eastAsia="SimSun"/>
          <w:b/>
          <w:szCs w:val="20"/>
          <w:lang w:eastAsia="zh-CN"/>
        </w:rPr>
        <w:t xml:space="preserve">. </w:t>
      </w:r>
      <w:r>
        <w:rPr>
          <w:rFonts w:eastAsia="SimSun"/>
          <w:b/>
          <w:szCs w:val="20"/>
          <w:lang w:eastAsia="zh-CN"/>
        </w:rPr>
        <w:t>SRS sequence collision probability</w:t>
      </w:r>
    </w:p>
    <w:tbl>
      <w:tblPr>
        <w:tblW w:w="5000" w:type="pct"/>
        <w:tblCellMar>
          <w:left w:w="0" w:type="dxa"/>
          <w:right w:w="0" w:type="dxa"/>
        </w:tblCellMar>
        <w:tblLook w:val="0420" w:firstRow="1" w:lastRow="0" w:firstColumn="0" w:lastColumn="0" w:noHBand="0" w:noVBand="1"/>
      </w:tblPr>
      <w:tblGrid>
        <w:gridCol w:w="1441"/>
        <w:gridCol w:w="629"/>
        <w:gridCol w:w="690"/>
        <w:gridCol w:w="690"/>
        <w:gridCol w:w="690"/>
        <w:gridCol w:w="690"/>
        <w:gridCol w:w="690"/>
        <w:gridCol w:w="690"/>
        <w:gridCol w:w="690"/>
        <w:gridCol w:w="690"/>
        <w:gridCol w:w="690"/>
        <w:gridCol w:w="690"/>
        <w:gridCol w:w="669"/>
      </w:tblGrid>
      <w:tr w:rsidR="00C03398" w:rsidRPr="002E46A1" w:rsidTr="00843404">
        <w:trPr>
          <w:trHeight w:val="362"/>
        </w:trPr>
        <w:tc>
          <w:tcPr>
            <w:tcW w:w="747" w:type="pct"/>
            <w:tcBorders>
              <w:top w:val="single" w:sz="8" w:space="0" w:color="70CFEE"/>
              <w:left w:val="nil"/>
              <w:bottom w:val="single" w:sz="8" w:space="0" w:color="70CFEE"/>
              <w:right w:val="nil"/>
              <w:tl2br w:val="single" w:sz="4" w:space="0" w:color="auto"/>
            </w:tcBorders>
            <w:shd w:val="clear" w:color="auto" w:fill="auto"/>
            <w:tcMar>
              <w:top w:w="72" w:type="dxa"/>
              <w:left w:w="144" w:type="dxa"/>
              <w:bottom w:w="72" w:type="dxa"/>
              <w:right w:w="144" w:type="dxa"/>
            </w:tcMar>
            <w:hideMark/>
          </w:tcPr>
          <w:p w:rsidR="00C03398" w:rsidRPr="00FE094F" w:rsidRDefault="00C03398" w:rsidP="00333337">
            <w:pPr>
              <w:pStyle w:val="LGTdoc"/>
              <w:spacing w:afterLines="0" w:line="240" w:lineRule="auto"/>
              <w:rPr>
                <w:b/>
                <w:bCs/>
                <w:sz w:val="16"/>
                <w:szCs w:val="22"/>
                <w:lang w:val="en-US"/>
              </w:rPr>
            </w:pPr>
            <w:r>
              <w:rPr>
                <w:b/>
                <w:bCs/>
                <w:sz w:val="16"/>
                <w:szCs w:val="22"/>
                <w:lang w:val="en-US"/>
              </w:rPr>
              <w:t xml:space="preserve">              </w:t>
            </w:r>
            <w:r w:rsidR="00843404">
              <w:rPr>
                <w:b/>
                <w:bCs/>
                <w:sz w:val="16"/>
                <w:szCs w:val="22"/>
                <w:lang w:val="en-US"/>
              </w:rPr>
              <w:t>Seq. Len</w:t>
            </w:r>
          </w:p>
          <w:p w:rsidR="00C03398" w:rsidRPr="002E46A1" w:rsidRDefault="00C03398" w:rsidP="00843404">
            <w:pPr>
              <w:pStyle w:val="LGTdoc"/>
              <w:spacing w:afterLines="0" w:line="240" w:lineRule="auto"/>
              <w:jc w:val="left"/>
              <w:rPr>
                <w:sz w:val="20"/>
                <w:szCs w:val="22"/>
                <w:lang w:val="en-US"/>
              </w:rPr>
            </w:pPr>
            <w:r w:rsidRPr="00FE094F">
              <w:rPr>
                <w:b/>
                <w:bCs/>
                <w:sz w:val="16"/>
                <w:szCs w:val="22"/>
                <w:lang w:val="en-US"/>
              </w:rPr>
              <w:t xml:space="preserve"># </w:t>
            </w:r>
            <w:r w:rsidR="00843404">
              <w:rPr>
                <w:b/>
                <w:bCs/>
                <w:sz w:val="16"/>
                <w:szCs w:val="22"/>
                <w:lang w:val="en-US"/>
              </w:rPr>
              <w:t>Adj. c</w:t>
            </w:r>
            <w:r w:rsidRPr="00FE094F">
              <w:rPr>
                <w:b/>
                <w:bCs/>
                <w:sz w:val="16"/>
                <w:szCs w:val="22"/>
                <w:lang w:val="en-US"/>
              </w:rPr>
              <w:t>ells</w:t>
            </w:r>
          </w:p>
        </w:tc>
        <w:tc>
          <w:tcPr>
            <w:tcW w:w="326" w:type="pct"/>
            <w:tcBorders>
              <w:top w:val="single" w:sz="8" w:space="0" w:color="70CFEE"/>
              <w:left w:val="nil"/>
              <w:bottom w:val="single" w:sz="8" w:space="0" w:color="70CFEE"/>
              <w:right w:val="nil"/>
            </w:tcBorders>
            <w:shd w:val="clear" w:color="auto" w:fill="auto"/>
            <w:tcMar>
              <w:top w:w="72" w:type="dxa"/>
              <w:left w:w="144" w:type="dxa"/>
              <w:bottom w:w="72" w:type="dxa"/>
              <w:right w:w="144" w:type="dxa"/>
            </w:tcMar>
            <w:hideMark/>
          </w:tcPr>
          <w:p w:rsidR="00C03398" w:rsidRPr="002E46A1" w:rsidRDefault="00C03398" w:rsidP="00333337">
            <w:pPr>
              <w:pStyle w:val="LGTdoc"/>
              <w:spacing w:afterLines="0" w:line="240" w:lineRule="auto"/>
              <w:rPr>
                <w:sz w:val="20"/>
                <w:szCs w:val="22"/>
                <w:lang w:val="en-US"/>
              </w:rPr>
            </w:pPr>
            <w:r w:rsidRPr="002E46A1">
              <w:rPr>
                <w:b/>
                <w:bCs/>
                <w:sz w:val="20"/>
                <w:szCs w:val="22"/>
                <w:lang w:val="en-US"/>
              </w:rPr>
              <w:t>36</w:t>
            </w:r>
          </w:p>
        </w:tc>
        <w:tc>
          <w:tcPr>
            <w:tcW w:w="358" w:type="pct"/>
            <w:tcBorders>
              <w:top w:val="single" w:sz="8" w:space="0" w:color="70CFEE"/>
              <w:left w:val="nil"/>
              <w:bottom w:val="single" w:sz="8" w:space="0" w:color="70CFEE"/>
              <w:right w:val="nil"/>
            </w:tcBorders>
            <w:shd w:val="clear" w:color="auto" w:fill="auto"/>
            <w:tcMar>
              <w:top w:w="72" w:type="dxa"/>
              <w:left w:w="144" w:type="dxa"/>
              <w:bottom w:w="72" w:type="dxa"/>
              <w:right w:w="144" w:type="dxa"/>
            </w:tcMar>
            <w:hideMark/>
          </w:tcPr>
          <w:p w:rsidR="00C03398" w:rsidRPr="002E46A1" w:rsidRDefault="00C03398" w:rsidP="00333337">
            <w:pPr>
              <w:pStyle w:val="LGTdoc"/>
              <w:spacing w:afterLines="0" w:line="240" w:lineRule="auto"/>
              <w:rPr>
                <w:sz w:val="20"/>
                <w:szCs w:val="22"/>
                <w:lang w:val="en-US"/>
              </w:rPr>
            </w:pPr>
            <w:r w:rsidRPr="002E46A1">
              <w:rPr>
                <w:b/>
                <w:bCs/>
                <w:sz w:val="20"/>
                <w:szCs w:val="22"/>
                <w:lang w:val="en-US"/>
              </w:rPr>
              <w:t>48</w:t>
            </w:r>
          </w:p>
        </w:tc>
        <w:tc>
          <w:tcPr>
            <w:tcW w:w="358" w:type="pct"/>
            <w:tcBorders>
              <w:top w:val="single" w:sz="8" w:space="0" w:color="70CFEE"/>
              <w:left w:val="nil"/>
              <w:bottom w:val="single" w:sz="8" w:space="0" w:color="70CFEE"/>
              <w:right w:val="nil"/>
            </w:tcBorders>
            <w:shd w:val="clear" w:color="auto" w:fill="auto"/>
            <w:tcMar>
              <w:top w:w="72" w:type="dxa"/>
              <w:left w:w="144" w:type="dxa"/>
              <w:bottom w:w="72" w:type="dxa"/>
              <w:right w:w="144" w:type="dxa"/>
            </w:tcMar>
            <w:hideMark/>
          </w:tcPr>
          <w:p w:rsidR="00C03398" w:rsidRPr="002E46A1" w:rsidRDefault="00C03398" w:rsidP="00333337">
            <w:pPr>
              <w:pStyle w:val="LGTdoc"/>
              <w:spacing w:afterLines="0" w:line="240" w:lineRule="auto"/>
              <w:rPr>
                <w:sz w:val="20"/>
                <w:szCs w:val="22"/>
                <w:lang w:val="en-US"/>
              </w:rPr>
            </w:pPr>
            <w:r w:rsidRPr="002E46A1">
              <w:rPr>
                <w:b/>
                <w:bCs/>
                <w:sz w:val="20"/>
                <w:szCs w:val="22"/>
                <w:lang w:val="en-US"/>
              </w:rPr>
              <w:t>60</w:t>
            </w:r>
          </w:p>
        </w:tc>
        <w:tc>
          <w:tcPr>
            <w:tcW w:w="358" w:type="pct"/>
            <w:tcBorders>
              <w:top w:val="single" w:sz="8" w:space="0" w:color="70CFEE"/>
              <w:left w:val="nil"/>
              <w:bottom w:val="single" w:sz="8" w:space="0" w:color="70CFEE"/>
              <w:right w:val="nil"/>
            </w:tcBorders>
            <w:shd w:val="clear" w:color="auto" w:fill="auto"/>
            <w:tcMar>
              <w:top w:w="72" w:type="dxa"/>
              <w:left w:w="144" w:type="dxa"/>
              <w:bottom w:w="72" w:type="dxa"/>
              <w:right w:w="144" w:type="dxa"/>
            </w:tcMar>
            <w:hideMark/>
          </w:tcPr>
          <w:p w:rsidR="00C03398" w:rsidRPr="002E46A1" w:rsidRDefault="00C03398" w:rsidP="00333337">
            <w:pPr>
              <w:pStyle w:val="LGTdoc"/>
              <w:spacing w:afterLines="0" w:line="240" w:lineRule="auto"/>
              <w:rPr>
                <w:sz w:val="20"/>
                <w:szCs w:val="22"/>
                <w:lang w:val="en-US"/>
              </w:rPr>
            </w:pPr>
            <w:r w:rsidRPr="002E46A1">
              <w:rPr>
                <w:b/>
                <w:bCs/>
                <w:sz w:val="20"/>
                <w:szCs w:val="22"/>
                <w:lang w:val="en-US"/>
              </w:rPr>
              <w:t>72</w:t>
            </w:r>
          </w:p>
        </w:tc>
        <w:tc>
          <w:tcPr>
            <w:tcW w:w="358" w:type="pct"/>
            <w:tcBorders>
              <w:top w:val="single" w:sz="8" w:space="0" w:color="70CFEE"/>
              <w:left w:val="nil"/>
              <w:bottom w:val="single" w:sz="8" w:space="0" w:color="70CFEE"/>
              <w:right w:val="nil"/>
            </w:tcBorders>
            <w:shd w:val="clear" w:color="auto" w:fill="auto"/>
            <w:tcMar>
              <w:top w:w="72" w:type="dxa"/>
              <w:left w:w="144" w:type="dxa"/>
              <w:bottom w:w="72" w:type="dxa"/>
              <w:right w:w="144" w:type="dxa"/>
            </w:tcMar>
            <w:hideMark/>
          </w:tcPr>
          <w:p w:rsidR="00C03398" w:rsidRPr="002E46A1" w:rsidRDefault="00C03398" w:rsidP="00333337">
            <w:pPr>
              <w:pStyle w:val="LGTdoc"/>
              <w:spacing w:afterLines="0" w:line="240" w:lineRule="auto"/>
              <w:rPr>
                <w:sz w:val="20"/>
                <w:szCs w:val="22"/>
                <w:lang w:val="en-US"/>
              </w:rPr>
            </w:pPr>
            <w:r w:rsidRPr="002E46A1">
              <w:rPr>
                <w:b/>
                <w:bCs/>
                <w:sz w:val="20"/>
                <w:szCs w:val="22"/>
                <w:lang w:val="en-US"/>
              </w:rPr>
              <w:t>96</w:t>
            </w:r>
          </w:p>
        </w:tc>
        <w:tc>
          <w:tcPr>
            <w:tcW w:w="358" w:type="pct"/>
            <w:tcBorders>
              <w:top w:val="single" w:sz="8" w:space="0" w:color="70CFEE"/>
              <w:left w:val="nil"/>
              <w:bottom w:val="single" w:sz="8" w:space="0" w:color="70CFEE"/>
              <w:right w:val="nil"/>
            </w:tcBorders>
            <w:shd w:val="clear" w:color="auto" w:fill="auto"/>
            <w:tcMar>
              <w:top w:w="72" w:type="dxa"/>
              <w:left w:w="144" w:type="dxa"/>
              <w:bottom w:w="72" w:type="dxa"/>
              <w:right w:w="144" w:type="dxa"/>
            </w:tcMar>
            <w:hideMark/>
          </w:tcPr>
          <w:p w:rsidR="00C03398" w:rsidRPr="002E46A1" w:rsidRDefault="00C03398" w:rsidP="00333337">
            <w:pPr>
              <w:pStyle w:val="LGTdoc"/>
              <w:spacing w:afterLines="0" w:line="240" w:lineRule="auto"/>
              <w:rPr>
                <w:sz w:val="20"/>
                <w:szCs w:val="22"/>
                <w:lang w:val="en-US"/>
              </w:rPr>
            </w:pPr>
            <w:r w:rsidRPr="002E46A1">
              <w:rPr>
                <w:b/>
                <w:bCs/>
                <w:sz w:val="20"/>
                <w:szCs w:val="22"/>
                <w:lang w:val="en-US"/>
              </w:rPr>
              <w:t>108</w:t>
            </w:r>
          </w:p>
        </w:tc>
        <w:tc>
          <w:tcPr>
            <w:tcW w:w="358" w:type="pct"/>
            <w:tcBorders>
              <w:top w:val="single" w:sz="8" w:space="0" w:color="70CFEE"/>
              <w:left w:val="nil"/>
              <w:bottom w:val="single" w:sz="8" w:space="0" w:color="70CFEE"/>
              <w:right w:val="nil"/>
            </w:tcBorders>
            <w:shd w:val="clear" w:color="auto" w:fill="auto"/>
            <w:tcMar>
              <w:top w:w="72" w:type="dxa"/>
              <w:left w:w="144" w:type="dxa"/>
              <w:bottom w:w="72" w:type="dxa"/>
              <w:right w:w="144" w:type="dxa"/>
            </w:tcMar>
            <w:hideMark/>
          </w:tcPr>
          <w:p w:rsidR="00C03398" w:rsidRPr="002E46A1" w:rsidRDefault="00C03398" w:rsidP="00333337">
            <w:pPr>
              <w:pStyle w:val="LGTdoc"/>
              <w:spacing w:afterLines="0" w:line="240" w:lineRule="auto"/>
              <w:rPr>
                <w:sz w:val="20"/>
                <w:szCs w:val="22"/>
                <w:lang w:val="en-US"/>
              </w:rPr>
            </w:pPr>
            <w:r w:rsidRPr="002E46A1">
              <w:rPr>
                <w:b/>
                <w:bCs/>
                <w:sz w:val="20"/>
                <w:szCs w:val="22"/>
                <w:lang w:val="en-US"/>
              </w:rPr>
              <w:t>120</w:t>
            </w:r>
          </w:p>
        </w:tc>
        <w:tc>
          <w:tcPr>
            <w:tcW w:w="358" w:type="pct"/>
            <w:tcBorders>
              <w:top w:val="single" w:sz="8" w:space="0" w:color="70CFEE"/>
              <w:left w:val="nil"/>
              <w:bottom w:val="single" w:sz="8" w:space="0" w:color="70CFEE"/>
              <w:right w:val="nil"/>
            </w:tcBorders>
            <w:shd w:val="clear" w:color="auto" w:fill="auto"/>
            <w:tcMar>
              <w:top w:w="72" w:type="dxa"/>
              <w:left w:w="144" w:type="dxa"/>
              <w:bottom w:w="72" w:type="dxa"/>
              <w:right w:w="144" w:type="dxa"/>
            </w:tcMar>
            <w:hideMark/>
          </w:tcPr>
          <w:p w:rsidR="00C03398" w:rsidRPr="002E46A1" w:rsidRDefault="00C03398" w:rsidP="00333337">
            <w:pPr>
              <w:pStyle w:val="LGTdoc"/>
              <w:spacing w:afterLines="0" w:line="240" w:lineRule="auto"/>
              <w:rPr>
                <w:sz w:val="20"/>
                <w:szCs w:val="22"/>
                <w:lang w:val="en-US"/>
              </w:rPr>
            </w:pPr>
            <w:r w:rsidRPr="002E46A1">
              <w:rPr>
                <w:b/>
                <w:bCs/>
                <w:sz w:val="20"/>
                <w:szCs w:val="22"/>
                <w:lang w:val="en-US"/>
              </w:rPr>
              <w:t>144</w:t>
            </w:r>
          </w:p>
        </w:tc>
        <w:tc>
          <w:tcPr>
            <w:tcW w:w="358" w:type="pct"/>
            <w:tcBorders>
              <w:top w:val="single" w:sz="8" w:space="0" w:color="70CFEE"/>
              <w:left w:val="nil"/>
              <w:bottom w:val="single" w:sz="8" w:space="0" w:color="70CFEE"/>
              <w:right w:val="nil"/>
            </w:tcBorders>
            <w:shd w:val="clear" w:color="auto" w:fill="auto"/>
            <w:tcMar>
              <w:top w:w="72" w:type="dxa"/>
              <w:left w:w="144" w:type="dxa"/>
              <w:bottom w:w="72" w:type="dxa"/>
              <w:right w:w="144" w:type="dxa"/>
            </w:tcMar>
            <w:hideMark/>
          </w:tcPr>
          <w:p w:rsidR="00C03398" w:rsidRPr="002E46A1" w:rsidRDefault="00C03398" w:rsidP="00333337">
            <w:pPr>
              <w:pStyle w:val="LGTdoc"/>
              <w:spacing w:afterLines="0" w:line="240" w:lineRule="auto"/>
              <w:rPr>
                <w:sz w:val="20"/>
                <w:szCs w:val="22"/>
                <w:lang w:val="en-US"/>
              </w:rPr>
            </w:pPr>
            <w:r w:rsidRPr="002E46A1">
              <w:rPr>
                <w:b/>
                <w:bCs/>
                <w:sz w:val="20"/>
                <w:szCs w:val="22"/>
                <w:lang w:val="en-US"/>
              </w:rPr>
              <w:t>180</w:t>
            </w:r>
          </w:p>
        </w:tc>
        <w:tc>
          <w:tcPr>
            <w:tcW w:w="358" w:type="pct"/>
            <w:tcBorders>
              <w:top w:val="single" w:sz="8" w:space="0" w:color="70CFEE"/>
              <w:left w:val="nil"/>
              <w:bottom w:val="single" w:sz="8" w:space="0" w:color="70CFEE"/>
              <w:right w:val="nil"/>
            </w:tcBorders>
            <w:shd w:val="clear" w:color="auto" w:fill="auto"/>
            <w:tcMar>
              <w:top w:w="72" w:type="dxa"/>
              <w:left w:w="144" w:type="dxa"/>
              <w:bottom w:w="72" w:type="dxa"/>
              <w:right w:w="144" w:type="dxa"/>
            </w:tcMar>
            <w:hideMark/>
          </w:tcPr>
          <w:p w:rsidR="00C03398" w:rsidRPr="002E46A1" w:rsidRDefault="00C03398" w:rsidP="00333337">
            <w:pPr>
              <w:pStyle w:val="LGTdoc"/>
              <w:spacing w:afterLines="0" w:line="240" w:lineRule="auto"/>
              <w:rPr>
                <w:sz w:val="20"/>
                <w:szCs w:val="22"/>
                <w:lang w:val="en-US"/>
              </w:rPr>
            </w:pPr>
            <w:r w:rsidRPr="002E46A1">
              <w:rPr>
                <w:b/>
                <w:bCs/>
                <w:sz w:val="20"/>
                <w:szCs w:val="22"/>
                <w:lang w:val="en-US"/>
              </w:rPr>
              <w:t>192</w:t>
            </w:r>
          </w:p>
        </w:tc>
        <w:tc>
          <w:tcPr>
            <w:tcW w:w="358" w:type="pct"/>
            <w:tcBorders>
              <w:top w:val="single" w:sz="8" w:space="0" w:color="70CFEE"/>
              <w:left w:val="nil"/>
              <w:bottom w:val="single" w:sz="8" w:space="0" w:color="70CFEE"/>
              <w:right w:val="nil"/>
            </w:tcBorders>
            <w:shd w:val="clear" w:color="auto" w:fill="auto"/>
            <w:tcMar>
              <w:top w:w="72" w:type="dxa"/>
              <w:left w:w="144" w:type="dxa"/>
              <w:bottom w:w="72" w:type="dxa"/>
              <w:right w:w="144" w:type="dxa"/>
            </w:tcMar>
            <w:hideMark/>
          </w:tcPr>
          <w:p w:rsidR="00C03398" w:rsidRPr="002E46A1" w:rsidRDefault="00C03398" w:rsidP="00333337">
            <w:pPr>
              <w:pStyle w:val="LGTdoc"/>
              <w:spacing w:afterLines="0" w:line="240" w:lineRule="auto"/>
              <w:rPr>
                <w:sz w:val="20"/>
                <w:szCs w:val="22"/>
                <w:lang w:val="en-US"/>
              </w:rPr>
            </w:pPr>
            <w:r w:rsidRPr="002E46A1">
              <w:rPr>
                <w:b/>
                <w:bCs/>
                <w:sz w:val="20"/>
                <w:szCs w:val="22"/>
                <w:lang w:val="en-US"/>
              </w:rPr>
              <w:t>240</w:t>
            </w:r>
          </w:p>
        </w:tc>
        <w:tc>
          <w:tcPr>
            <w:tcW w:w="348" w:type="pct"/>
            <w:tcBorders>
              <w:top w:val="single" w:sz="8" w:space="0" w:color="70CFEE"/>
              <w:left w:val="nil"/>
              <w:bottom w:val="single" w:sz="8" w:space="0" w:color="70CFEE"/>
              <w:right w:val="nil"/>
            </w:tcBorders>
            <w:shd w:val="clear" w:color="auto" w:fill="auto"/>
            <w:tcMar>
              <w:top w:w="72" w:type="dxa"/>
              <w:left w:w="144" w:type="dxa"/>
              <w:bottom w:w="72" w:type="dxa"/>
              <w:right w:w="144" w:type="dxa"/>
            </w:tcMar>
            <w:hideMark/>
          </w:tcPr>
          <w:p w:rsidR="00C03398" w:rsidRPr="002E46A1" w:rsidRDefault="00C03398" w:rsidP="00333337">
            <w:pPr>
              <w:pStyle w:val="LGTdoc"/>
              <w:spacing w:afterLines="0" w:line="240" w:lineRule="auto"/>
              <w:rPr>
                <w:sz w:val="20"/>
                <w:szCs w:val="22"/>
                <w:lang w:val="en-US"/>
              </w:rPr>
            </w:pPr>
            <w:r w:rsidRPr="002E46A1">
              <w:rPr>
                <w:b/>
                <w:bCs/>
                <w:sz w:val="20"/>
                <w:szCs w:val="22"/>
                <w:lang w:val="en-US"/>
              </w:rPr>
              <w:t>288</w:t>
            </w:r>
          </w:p>
        </w:tc>
      </w:tr>
      <w:tr w:rsidR="00C03398" w:rsidRPr="002E46A1" w:rsidTr="00843404">
        <w:trPr>
          <w:trHeight w:val="281"/>
        </w:trPr>
        <w:tc>
          <w:tcPr>
            <w:tcW w:w="747" w:type="pct"/>
            <w:tcBorders>
              <w:top w:val="single" w:sz="8" w:space="0" w:color="70CFEE"/>
              <w:left w:val="nil"/>
              <w:bottom w:val="single" w:sz="8" w:space="0" w:color="70CFEE"/>
              <w:right w:val="nil"/>
            </w:tcBorders>
            <w:shd w:val="clear" w:color="auto" w:fill="EBF6FC"/>
            <w:tcMar>
              <w:top w:w="72" w:type="dxa"/>
              <w:left w:w="144" w:type="dxa"/>
              <w:bottom w:w="72" w:type="dxa"/>
              <w:right w:w="144" w:type="dxa"/>
            </w:tcMar>
          </w:tcPr>
          <w:p w:rsidR="00C03398" w:rsidRDefault="00843404" w:rsidP="00333337">
            <w:pPr>
              <w:pStyle w:val="LGTdoc"/>
              <w:spacing w:afterLines="0" w:line="240" w:lineRule="auto"/>
              <w:jc w:val="center"/>
              <w:rPr>
                <w:sz w:val="20"/>
                <w:szCs w:val="22"/>
                <w:lang w:val="en-US"/>
              </w:rPr>
            </w:pPr>
            <w:r>
              <w:rPr>
                <w:sz w:val="20"/>
                <w:szCs w:val="22"/>
                <w:lang w:val="en-US"/>
              </w:rPr>
              <w:t>6</w:t>
            </w:r>
          </w:p>
        </w:tc>
        <w:tc>
          <w:tcPr>
            <w:tcW w:w="326" w:type="pct"/>
            <w:tcBorders>
              <w:top w:val="single" w:sz="8" w:space="0" w:color="70CFEE"/>
              <w:left w:val="nil"/>
              <w:bottom w:val="single" w:sz="8" w:space="0" w:color="70CFEE"/>
              <w:right w:val="nil"/>
            </w:tcBorders>
            <w:shd w:val="clear" w:color="auto" w:fill="EBF6FC"/>
            <w:tcMar>
              <w:top w:w="72" w:type="dxa"/>
              <w:left w:w="144" w:type="dxa"/>
              <w:bottom w:w="72" w:type="dxa"/>
              <w:right w:w="144" w:type="dxa"/>
            </w:tcMar>
          </w:tcPr>
          <w:p w:rsidR="00C03398" w:rsidRDefault="00C03398" w:rsidP="00333337">
            <w:pPr>
              <w:pStyle w:val="LGTdoc"/>
              <w:spacing w:afterLines="0" w:line="240" w:lineRule="auto"/>
              <w:rPr>
                <w:sz w:val="18"/>
                <w:szCs w:val="22"/>
                <w:lang w:val="en-US"/>
              </w:rPr>
            </w:pPr>
            <w:r>
              <w:rPr>
                <w:sz w:val="18"/>
                <w:szCs w:val="22"/>
                <w:lang w:val="en-US"/>
              </w:rPr>
              <w:t>38%</w:t>
            </w:r>
          </w:p>
        </w:tc>
        <w:tc>
          <w:tcPr>
            <w:tcW w:w="358" w:type="pct"/>
            <w:tcBorders>
              <w:top w:val="single" w:sz="8" w:space="0" w:color="70CFEE"/>
              <w:left w:val="nil"/>
              <w:bottom w:val="single" w:sz="8" w:space="0" w:color="70CFEE"/>
              <w:right w:val="nil"/>
            </w:tcBorders>
            <w:shd w:val="clear" w:color="auto" w:fill="EBF6FC"/>
            <w:tcMar>
              <w:top w:w="72" w:type="dxa"/>
              <w:left w:w="144" w:type="dxa"/>
              <w:bottom w:w="72" w:type="dxa"/>
              <w:right w:w="144" w:type="dxa"/>
            </w:tcMar>
          </w:tcPr>
          <w:p w:rsidR="00C03398" w:rsidRDefault="00C03398" w:rsidP="00333337">
            <w:pPr>
              <w:pStyle w:val="LGTdoc"/>
              <w:spacing w:afterLines="0" w:line="240" w:lineRule="auto"/>
              <w:rPr>
                <w:sz w:val="18"/>
                <w:szCs w:val="22"/>
                <w:lang w:val="en-US"/>
              </w:rPr>
            </w:pPr>
            <w:r>
              <w:rPr>
                <w:sz w:val="18"/>
                <w:szCs w:val="22"/>
                <w:lang w:val="en-US"/>
              </w:rPr>
              <w:t>28%</w:t>
            </w:r>
          </w:p>
        </w:tc>
        <w:tc>
          <w:tcPr>
            <w:tcW w:w="358" w:type="pct"/>
            <w:tcBorders>
              <w:top w:val="single" w:sz="8" w:space="0" w:color="70CFEE"/>
              <w:left w:val="nil"/>
              <w:bottom w:val="single" w:sz="8" w:space="0" w:color="70CFEE"/>
              <w:right w:val="nil"/>
            </w:tcBorders>
            <w:shd w:val="clear" w:color="auto" w:fill="EBF6FC"/>
            <w:tcMar>
              <w:top w:w="72" w:type="dxa"/>
              <w:left w:w="144" w:type="dxa"/>
              <w:bottom w:w="72" w:type="dxa"/>
              <w:right w:w="144" w:type="dxa"/>
            </w:tcMar>
          </w:tcPr>
          <w:p w:rsidR="00C03398" w:rsidRDefault="00C03398" w:rsidP="00333337">
            <w:pPr>
              <w:pStyle w:val="LGTdoc"/>
              <w:spacing w:afterLines="0" w:line="240" w:lineRule="auto"/>
              <w:rPr>
                <w:sz w:val="18"/>
                <w:szCs w:val="22"/>
                <w:lang w:val="en-US"/>
              </w:rPr>
            </w:pPr>
            <w:r>
              <w:rPr>
                <w:sz w:val="18"/>
                <w:szCs w:val="22"/>
                <w:lang w:val="en-US"/>
              </w:rPr>
              <w:t>21%</w:t>
            </w:r>
          </w:p>
        </w:tc>
        <w:tc>
          <w:tcPr>
            <w:tcW w:w="358" w:type="pct"/>
            <w:tcBorders>
              <w:top w:val="single" w:sz="8" w:space="0" w:color="70CFEE"/>
              <w:left w:val="nil"/>
              <w:bottom w:val="single" w:sz="8" w:space="0" w:color="70CFEE"/>
              <w:right w:val="nil"/>
            </w:tcBorders>
            <w:shd w:val="clear" w:color="auto" w:fill="EBF6FC"/>
            <w:tcMar>
              <w:top w:w="72" w:type="dxa"/>
              <w:left w:w="144" w:type="dxa"/>
              <w:bottom w:w="72" w:type="dxa"/>
              <w:right w:w="144" w:type="dxa"/>
            </w:tcMar>
          </w:tcPr>
          <w:p w:rsidR="00C03398" w:rsidRDefault="00C03398" w:rsidP="00333337">
            <w:pPr>
              <w:pStyle w:val="LGTdoc"/>
              <w:spacing w:afterLines="0" w:line="240" w:lineRule="auto"/>
              <w:rPr>
                <w:sz w:val="18"/>
                <w:szCs w:val="22"/>
                <w:lang w:val="en-US"/>
              </w:rPr>
            </w:pPr>
            <w:r>
              <w:rPr>
                <w:sz w:val="18"/>
                <w:szCs w:val="22"/>
                <w:lang w:val="en-US"/>
              </w:rPr>
              <w:t>14%</w:t>
            </w:r>
          </w:p>
        </w:tc>
        <w:tc>
          <w:tcPr>
            <w:tcW w:w="358" w:type="pct"/>
            <w:tcBorders>
              <w:top w:val="single" w:sz="8" w:space="0" w:color="70CFEE"/>
              <w:left w:val="nil"/>
              <w:bottom w:val="single" w:sz="8" w:space="0" w:color="70CFEE"/>
              <w:right w:val="nil"/>
            </w:tcBorders>
            <w:shd w:val="clear" w:color="auto" w:fill="EBF6FC"/>
            <w:tcMar>
              <w:top w:w="72" w:type="dxa"/>
              <w:left w:w="144" w:type="dxa"/>
              <w:bottom w:w="72" w:type="dxa"/>
              <w:right w:w="144" w:type="dxa"/>
            </w:tcMar>
          </w:tcPr>
          <w:p w:rsidR="00C03398" w:rsidRDefault="00C03398" w:rsidP="00333337">
            <w:pPr>
              <w:pStyle w:val="LGTdoc"/>
              <w:spacing w:afterLines="0" w:line="240" w:lineRule="auto"/>
              <w:rPr>
                <w:sz w:val="18"/>
                <w:szCs w:val="22"/>
                <w:lang w:val="en-US"/>
              </w:rPr>
            </w:pPr>
            <w:r>
              <w:rPr>
                <w:sz w:val="18"/>
                <w:szCs w:val="22"/>
                <w:lang w:val="en-US"/>
              </w:rPr>
              <w:t>8.3%</w:t>
            </w:r>
          </w:p>
        </w:tc>
        <w:tc>
          <w:tcPr>
            <w:tcW w:w="358" w:type="pct"/>
            <w:tcBorders>
              <w:top w:val="single" w:sz="8" w:space="0" w:color="70CFEE"/>
              <w:left w:val="nil"/>
              <w:bottom w:val="single" w:sz="8" w:space="0" w:color="70CFEE"/>
              <w:right w:val="nil"/>
            </w:tcBorders>
            <w:shd w:val="clear" w:color="auto" w:fill="EBF6FC"/>
            <w:tcMar>
              <w:top w:w="72" w:type="dxa"/>
              <w:left w:w="144" w:type="dxa"/>
              <w:bottom w:w="72" w:type="dxa"/>
              <w:right w:w="144" w:type="dxa"/>
            </w:tcMar>
          </w:tcPr>
          <w:p w:rsidR="00C03398" w:rsidRDefault="00C03398" w:rsidP="00333337">
            <w:pPr>
              <w:pStyle w:val="LGTdoc"/>
              <w:spacing w:afterLines="0" w:line="240" w:lineRule="auto"/>
              <w:rPr>
                <w:sz w:val="18"/>
                <w:szCs w:val="22"/>
                <w:lang w:val="en-US"/>
              </w:rPr>
            </w:pPr>
            <w:r>
              <w:rPr>
                <w:sz w:val="18"/>
                <w:szCs w:val="22"/>
                <w:lang w:val="en-US"/>
              </w:rPr>
              <w:t>8.3%</w:t>
            </w:r>
          </w:p>
        </w:tc>
        <w:tc>
          <w:tcPr>
            <w:tcW w:w="358" w:type="pct"/>
            <w:tcBorders>
              <w:top w:val="single" w:sz="8" w:space="0" w:color="70CFEE"/>
              <w:left w:val="nil"/>
              <w:bottom w:val="single" w:sz="8" w:space="0" w:color="70CFEE"/>
              <w:right w:val="nil"/>
            </w:tcBorders>
            <w:shd w:val="clear" w:color="auto" w:fill="EBF6FC"/>
            <w:tcMar>
              <w:top w:w="72" w:type="dxa"/>
              <w:left w:w="144" w:type="dxa"/>
              <w:bottom w:w="72" w:type="dxa"/>
              <w:right w:w="144" w:type="dxa"/>
            </w:tcMar>
          </w:tcPr>
          <w:p w:rsidR="00C03398" w:rsidRDefault="00C03398" w:rsidP="00333337">
            <w:pPr>
              <w:pStyle w:val="LGTdoc"/>
              <w:spacing w:afterLines="0" w:line="240" w:lineRule="auto"/>
              <w:rPr>
                <w:sz w:val="18"/>
                <w:szCs w:val="22"/>
                <w:lang w:val="en-US"/>
              </w:rPr>
            </w:pPr>
            <w:r>
              <w:rPr>
                <w:sz w:val="18"/>
                <w:szCs w:val="22"/>
                <w:lang w:val="en-US"/>
              </w:rPr>
              <w:t>8.3%</w:t>
            </w:r>
          </w:p>
        </w:tc>
        <w:tc>
          <w:tcPr>
            <w:tcW w:w="358" w:type="pct"/>
            <w:tcBorders>
              <w:top w:val="single" w:sz="8" w:space="0" w:color="70CFEE"/>
              <w:left w:val="nil"/>
              <w:bottom w:val="single" w:sz="8" w:space="0" w:color="70CFEE"/>
              <w:right w:val="nil"/>
            </w:tcBorders>
            <w:shd w:val="clear" w:color="auto" w:fill="EBF6FC"/>
            <w:tcMar>
              <w:top w:w="72" w:type="dxa"/>
              <w:left w:w="144" w:type="dxa"/>
              <w:bottom w:w="72" w:type="dxa"/>
              <w:right w:w="144" w:type="dxa"/>
            </w:tcMar>
          </w:tcPr>
          <w:p w:rsidR="00C03398" w:rsidRDefault="00C03398" w:rsidP="00333337">
            <w:pPr>
              <w:pStyle w:val="LGTdoc"/>
              <w:spacing w:afterLines="0" w:line="240" w:lineRule="auto"/>
              <w:rPr>
                <w:sz w:val="18"/>
                <w:szCs w:val="22"/>
                <w:lang w:val="en-US"/>
              </w:rPr>
            </w:pPr>
            <w:r>
              <w:rPr>
                <w:sz w:val="18"/>
                <w:szCs w:val="22"/>
                <w:lang w:val="en-US"/>
              </w:rPr>
              <w:t>8.3%</w:t>
            </w:r>
          </w:p>
        </w:tc>
        <w:tc>
          <w:tcPr>
            <w:tcW w:w="358" w:type="pct"/>
            <w:tcBorders>
              <w:top w:val="single" w:sz="8" w:space="0" w:color="70CFEE"/>
              <w:left w:val="nil"/>
              <w:bottom w:val="single" w:sz="8" w:space="0" w:color="70CFEE"/>
              <w:right w:val="nil"/>
            </w:tcBorders>
            <w:shd w:val="clear" w:color="auto" w:fill="EBF6FC"/>
            <w:tcMar>
              <w:top w:w="72" w:type="dxa"/>
              <w:left w:w="144" w:type="dxa"/>
              <w:bottom w:w="72" w:type="dxa"/>
              <w:right w:w="144" w:type="dxa"/>
            </w:tcMar>
          </w:tcPr>
          <w:p w:rsidR="00C03398" w:rsidRDefault="00C03398" w:rsidP="00333337">
            <w:pPr>
              <w:pStyle w:val="LGTdoc"/>
              <w:spacing w:afterLines="0" w:line="240" w:lineRule="auto"/>
              <w:rPr>
                <w:sz w:val="18"/>
                <w:szCs w:val="22"/>
                <w:lang w:val="en-US"/>
              </w:rPr>
            </w:pPr>
            <w:r>
              <w:rPr>
                <w:sz w:val="18"/>
                <w:szCs w:val="22"/>
                <w:lang w:val="en-US"/>
              </w:rPr>
              <w:t>8.3%</w:t>
            </w:r>
          </w:p>
        </w:tc>
        <w:tc>
          <w:tcPr>
            <w:tcW w:w="358" w:type="pct"/>
            <w:tcBorders>
              <w:top w:val="single" w:sz="8" w:space="0" w:color="70CFEE"/>
              <w:left w:val="nil"/>
              <w:bottom w:val="single" w:sz="8" w:space="0" w:color="70CFEE"/>
              <w:right w:val="nil"/>
            </w:tcBorders>
            <w:shd w:val="clear" w:color="auto" w:fill="EBF6FC"/>
            <w:tcMar>
              <w:top w:w="72" w:type="dxa"/>
              <w:left w:w="144" w:type="dxa"/>
              <w:bottom w:w="72" w:type="dxa"/>
              <w:right w:w="144" w:type="dxa"/>
            </w:tcMar>
          </w:tcPr>
          <w:p w:rsidR="00C03398" w:rsidRDefault="00C03398" w:rsidP="00333337">
            <w:pPr>
              <w:pStyle w:val="LGTdoc"/>
              <w:spacing w:afterLines="0" w:line="240" w:lineRule="auto"/>
              <w:rPr>
                <w:sz w:val="18"/>
                <w:szCs w:val="22"/>
                <w:lang w:val="en-US"/>
              </w:rPr>
            </w:pPr>
            <w:r>
              <w:rPr>
                <w:sz w:val="18"/>
                <w:szCs w:val="22"/>
                <w:lang w:val="en-US"/>
              </w:rPr>
              <w:t>8.3%</w:t>
            </w:r>
          </w:p>
        </w:tc>
        <w:tc>
          <w:tcPr>
            <w:tcW w:w="358" w:type="pct"/>
            <w:tcBorders>
              <w:top w:val="single" w:sz="8" w:space="0" w:color="70CFEE"/>
              <w:left w:val="nil"/>
              <w:bottom w:val="single" w:sz="8" w:space="0" w:color="70CFEE"/>
              <w:right w:val="nil"/>
            </w:tcBorders>
            <w:shd w:val="clear" w:color="auto" w:fill="EBF6FC"/>
            <w:tcMar>
              <w:top w:w="72" w:type="dxa"/>
              <w:left w:w="144" w:type="dxa"/>
              <w:bottom w:w="72" w:type="dxa"/>
              <w:right w:w="144" w:type="dxa"/>
            </w:tcMar>
          </w:tcPr>
          <w:p w:rsidR="00C03398" w:rsidRDefault="00C03398" w:rsidP="00333337">
            <w:pPr>
              <w:pStyle w:val="LGTdoc"/>
              <w:spacing w:afterLines="0" w:line="240" w:lineRule="auto"/>
              <w:rPr>
                <w:sz w:val="18"/>
                <w:szCs w:val="22"/>
                <w:lang w:val="en-US"/>
              </w:rPr>
            </w:pPr>
            <w:r>
              <w:rPr>
                <w:sz w:val="18"/>
                <w:szCs w:val="22"/>
                <w:lang w:val="en-US"/>
              </w:rPr>
              <w:t>8.3%</w:t>
            </w:r>
          </w:p>
        </w:tc>
        <w:tc>
          <w:tcPr>
            <w:tcW w:w="348" w:type="pct"/>
            <w:tcBorders>
              <w:top w:val="single" w:sz="8" w:space="0" w:color="70CFEE"/>
              <w:left w:val="nil"/>
              <w:bottom w:val="single" w:sz="8" w:space="0" w:color="70CFEE"/>
              <w:right w:val="nil"/>
            </w:tcBorders>
            <w:shd w:val="clear" w:color="auto" w:fill="EBF6FC"/>
            <w:tcMar>
              <w:top w:w="72" w:type="dxa"/>
              <w:left w:w="144" w:type="dxa"/>
              <w:bottom w:w="72" w:type="dxa"/>
              <w:right w:w="144" w:type="dxa"/>
            </w:tcMar>
          </w:tcPr>
          <w:p w:rsidR="00C03398" w:rsidRDefault="00C03398" w:rsidP="00333337">
            <w:pPr>
              <w:pStyle w:val="LGTdoc"/>
              <w:spacing w:afterLines="0" w:line="240" w:lineRule="auto"/>
              <w:rPr>
                <w:sz w:val="18"/>
                <w:szCs w:val="22"/>
                <w:lang w:val="en-US"/>
              </w:rPr>
            </w:pPr>
            <w:r>
              <w:rPr>
                <w:sz w:val="18"/>
                <w:szCs w:val="22"/>
                <w:lang w:val="en-US"/>
              </w:rPr>
              <w:t>8.3%</w:t>
            </w:r>
          </w:p>
        </w:tc>
      </w:tr>
      <w:tr w:rsidR="00C03398" w:rsidRPr="002E46A1" w:rsidTr="00843404">
        <w:trPr>
          <w:trHeight w:val="281"/>
        </w:trPr>
        <w:tc>
          <w:tcPr>
            <w:tcW w:w="747" w:type="pct"/>
            <w:tcBorders>
              <w:top w:val="single" w:sz="8" w:space="0" w:color="70CFEE"/>
              <w:left w:val="nil"/>
              <w:bottom w:val="single" w:sz="8" w:space="0" w:color="70CFEE"/>
              <w:right w:val="nil"/>
            </w:tcBorders>
            <w:shd w:val="clear" w:color="auto" w:fill="EBF6FC"/>
            <w:tcMar>
              <w:top w:w="72" w:type="dxa"/>
              <w:left w:w="144" w:type="dxa"/>
              <w:bottom w:w="72" w:type="dxa"/>
              <w:right w:w="144" w:type="dxa"/>
            </w:tcMar>
          </w:tcPr>
          <w:p w:rsidR="00C03398" w:rsidRDefault="00843404" w:rsidP="00333337">
            <w:pPr>
              <w:pStyle w:val="LGTdoc"/>
              <w:spacing w:afterLines="0" w:line="240" w:lineRule="auto"/>
              <w:jc w:val="center"/>
              <w:rPr>
                <w:sz w:val="20"/>
                <w:szCs w:val="22"/>
                <w:lang w:val="en-US"/>
              </w:rPr>
            </w:pPr>
            <w:r>
              <w:rPr>
                <w:sz w:val="20"/>
                <w:szCs w:val="22"/>
                <w:lang w:val="en-US"/>
              </w:rPr>
              <w:t>12</w:t>
            </w:r>
          </w:p>
        </w:tc>
        <w:tc>
          <w:tcPr>
            <w:tcW w:w="326" w:type="pct"/>
            <w:tcBorders>
              <w:top w:val="single" w:sz="8" w:space="0" w:color="70CFEE"/>
              <w:left w:val="nil"/>
              <w:bottom w:val="single" w:sz="8" w:space="0" w:color="70CFEE"/>
              <w:right w:val="nil"/>
            </w:tcBorders>
            <w:shd w:val="clear" w:color="auto" w:fill="EBF6FC"/>
            <w:tcMar>
              <w:top w:w="72" w:type="dxa"/>
              <w:left w:w="144" w:type="dxa"/>
              <w:bottom w:w="72" w:type="dxa"/>
              <w:right w:w="144" w:type="dxa"/>
            </w:tcMar>
          </w:tcPr>
          <w:p w:rsidR="00C03398" w:rsidRDefault="00C03398" w:rsidP="00333337">
            <w:pPr>
              <w:pStyle w:val="LGTdoc"/>
              <w:spacing w:afterLines="0" w:line="240" w:lineRule="auto"/>
              <w:rPr>
                <w:sz w:val="18"/>
                <w:szCs w:val="22"/>
                <w:lang w:val="en-US"/>
              </w:rPr>
            </w:pPr>
            <w:r>
              <w:rPr>
                <w:sz w:val="18"/>
                <w:szCs w:val="22"/>
                <w:lang w:val="en-US"/>
              </w:rPr>
              <w:t>67%</w:t>
            </w:r>
          </w:p>
        </w:tc>
        <w:tc>
          <w:tcPr>
            <w:tcW w:w="358" w:type="pct"/>
            <w:tcBorders>
              <w:top w:val="single" w:sz="8" w:space="0" w:color="70CFEE"/>
              <w:left w:val="nil"/>
              <w:bottom w:val="single" w:sz="8" w:space="0" w:color="70CFEE"/>
              <w:right w:val="nil"/>
            </w:tcBorders>
            <w:shd w:val="clear" w:color="auto" w:fill="EBF6FC"/>
            <w:tcMar>
              <w:top w:w="72" w:type="dxa"/>
              <w:left w:w="144" w:type="dxa"/>
              <w:bottom w:w="72" w:type="dxa"/>
              <w:right w:w="144" w:type="dxa"/>
            </w:tcMar>
          </w:tcPr>
          <w:p w:rsidR="00C03398" w:rsidRDefault="00C03398" w:rsidP="00333337">
            <w:pPr>
              <w:pStyle w:val="LGTdoc"/>
              <w:spacing w:afterLines="0" w:line="240" w:lineRule="auto"/>
              <w:rPr>
                <w:sz w:val="18"/>
                <w:szCs w:val="22"/>
                <w:lang w:val="en-US"/>
              </w:rPr>
            </w:pPr>
            <w:r>
              <w:rPr>
                <w:sz w:val="18"/>
                <w:szCs w:val="22"/>
                <w:lang w:val="en-US"/>
              </w:rPr>
              <w:t>52%</w:t>
            </w:r>
          </w:p>
        </w:tc>
        <w:tc>
          <w:tcPr>
            <w:tcW w:w="358" w:type="pct"/>
            <w:tcBorders>
              <w:top w:val="single" w:sz="8" w:space="0" w:color="70CFEE"/>
              <w:left w:val="nil"/>
              <w:bottom w:val="single" w:sz="8" w:space="0" w:color="70CFEE"/>
              <w:right w:val="nil"/>
            </w:tcBorders>
            <w:shd w:val="clear" w:color="auto" w:fill="EBF6FC"/>
            <w:tcMar>
              <w:top w:w="72" w:type="dxa"/>
              <w:left w:w="144" w:type="dxa"/>
              <w:bottom w:w="72" w:type="dxa"/>
              <w:right w:w="144" w:type="dxa"/>
            </w:tcMar>
          </w:tcPr>
          <w:p w:rsidR="00C03398" w:rsidRDefault="00C03398" w:rsidP="00333337">
            <w:pPr>
              <w:pStyle w:val="LGTdoc"/>
              <w:spacing w:afterLines="0" w:line="240" w:lineRule="auto"/>
              <w:rPr>
                <w:sz w:val="18"/>
                <w:szCs w:val="22"/>
                <w:lang w:val="en-US"/>
              </w:rPr>
            </w:pPr>
            <w:r>
              <w:rPr>
                <w:sz w:val="18"/>
                <w:szCs w:val="22"/>
                <w:lang w:val="en-US"/>
              </w:rPr>
              <w:t>39%</w:t>
            </w:r>
          </w:p>
        </w:tc>
        <w:tc>
          <w:tcPr>
            <w:tcW w:w="358" w:type="pct"/>
            <w:tcBorders>
              <w:top w:val="single" w:sz="8" w:space="0" w:color="70CFEE"/>
              <w:left w:val="nil"/>
              <w:bottom w:val="single" w:sz="8" w:space="0" w:color="70CFEE"/>
              <w:right w:val="nil"/>
            </w:tcBorders>
            <w:shd w:val="clear" w:color="auto" w:fill="EBF6FC"/>
            <w:tcMar>
              <w:top w:w="72" w:type="dxa"/>
              <w:left w:w="144" w:type="dxa"/>
              <w:bottom w:w="72" w:type="dxa"/>
              <w:right w:w="144" w:type="dxa"/>
            </w:tcMar>
          </w:tcPr>
          <w:p w:rsidR="00C03398" w:rsidRDefault="00C03398" w:rsidP="00333337">
            <w:pPr>
              <w:pStyle w:val="LGTdoc"/>
              <w:spacing w:afterLines="0" w:line="240" w:lineRule="auto"/>
              <w:rPr>
                <w:sz w:val="18"/>
                <w:szCs w:val="22"/>
                <w:lang w:val="en-US"/>
              </w:rPr>
            </w:pPr>
            <w:r>
              <w:rPr>
                <w:sz w:val="18"/>
                <w:szCs w:val="22"/>
                <w:lang w:val="en-US"/>
              </w:rPr>
              <w:t>26%</w:t>
            </w:r>
          </w:p>
        </w:tc>
        <w:tc>
          <w:tcPr>
            <w:tcW w:w="358" w:type="pct"/>
            <w:tcBorders>
              <w:top w:val="single" w:sz="8" w:space="0" w:color="70CFEE"/>
              <w:left w:val="nil"/>
              <w:bottom w:val="single" w:sz="8" w:space="0" w:color="70CFEE"/>
              <w:right w:val="nil"/>
            </w:tcBorders>
            <w:shd w:val="clear" w:color="auto" w:fill="EBF6FC"/>
            <w:tcMar>
              <w:top w:w="72" w:type="dxa"/>
              <w:left w:w="144" w:type="dxa"/>
              <w:bottom w:w="72" w:type="dxa"/>
              <w:right w:w="144" w:type="dxa"/>
            </w:tcMar>
          </w:tcPr>
          <w:p w:rsidR="00C03398" w:rsidRDefault="00C03398" w:rsidP="00333337">
            <w:pPr>
              <w:pStyle w:val="LGTdoc"/>
              <w:spacing w:afterLines="0" w:line="240" w:lineRule="auto"/>
              <w:rPr>
                <w:sz w:val="18"/>
                <w:szCs w:val="22"/>
                <w:lang w:val="en-US"/>
              </w:rPr>
            </w:pPr>
            <w:r>
              <w:rPr>
                <w:sz w:val="18"/>
                <w:szCs w:val="22"/>
                <w:lang w:val="en-US"/>
              </w:rPr>
              <w:t>16%</w:t>
            </w:r>
          </w:p>
        </w:tc>
        <w:tc>
          <w:tcPr>
            <w:tcW w:w="358" w:type="pct"/>
            <w:tcBorders>
              <w:top w:val="single" w:sz="8" w:space="0" w:color="70CFEE"/>
              <w:left w:val="nil"/>
              <w:bottom w:val="single" w:sz="8" w:space="0" w:color="70CFEE"/>
              <w:right w:val="nil"/>
            </w:tcBorders>
            <w:shd w:val="clear" w:color="auto" w:fill="EBF6FC"/>
            <w:tcMar>
              <w:top w:w="72" w:type="dxa"/>
              <w:left w:w="144" w:type="dxa"/>
              <w:bottom w:w="72" w:type="dxa"/>
              <w:right w:w="144" w:type="dxa"/>
            </w:tcMar>
          </w:tcPr>
          <w:p w:rsidR="00C03398" w:rsidRDefault="00C03398" w:rsidP="00333337">
            <w:pPr>
              <w:pStyle w:val="LGTdoc"/>
              <w:spacing w:afterLines="0" w:line="240" w:lineRule="auto"/>
              <w:rPr>
                <w:sz w:val="18"/>
                <w:szCs w:val="22"/>
                <w:lang w:val="en-US"/>
              </w:rPr>
            </w:pPr>
            <w:r>
              <w:rPr>
                <w:sz w:val="18"/>
                <w:szCs w:val="22"/>
                <w:lang w:val="en-US"/>
              </w:rPr>
              <w:t>16%</w:t>
            </w:r>
          </w:p>
        </w:tc>
        <w:tc>
          <w:tcPr>
            <w:tcW w:w="358" w:type="pct"/>
            <w:tcBorders>
              <w:top w:val="single" w:sz="8" w:space="0" w:color="70CFEE"/>
              <w:left w:val="nil"/>
              <w:bottom w:val="single" w:sz="8" w:space="0" w:color="70CFEE"/>
              <w:right w:val="nil"/>
            </w:tcBorders>
            <w:shd w:val="clear" w:color="auto" w:fill="EBF6FC"/>
            <w:tcMar>
              <w:top w:w="72" w:type="dxa"/>
              <w:left w:w="144" w:type="dxa"/>
              <w:bottom w:w="72" w:type="dxa"/>
              <w:right w:w="144" w:type="dxa"/>
            </w:tcMar>
          </w:tcPr>
          <w:p w:rsidR="00C03398" w:rsidRDefault="00C03398" w:rsidP="00333337">
            <w:pPr>
              <w:pStyle w:val="LGTdoc"/>
              <w:spacing w:afterLines="0" w:line="240" w:lineRule="auto"/>
              <w:rPr>
                <w:sz w:val="18"/>
                <w:szCs w:val="22"/>
                <w:lang w:val="en-US"/>
              </w:rPr>
            </w:pPr>
            <w:r>
              <w:rPr>
                <w:sz w:val="18"/>
                <w:szCs w:val="22"/>
                <w:lang w:val="en-US"/>
              </w:rPr>
              <w:t>16%</w:t>
            </w:r>
          </w:p>
        </w:tc>
        <w:tc>
          <w:tcPr>
            <w:tcW w:w="358" w:type="pct"/>
            <w:tcBorders>
              <w:top w:val="single" w:sz="8" w:space="0" w:color="70CFEE"/>
              <w:left w:val="nil"/>
              <w:bottom w:val="single" w:sz="8" w:space="0" w:color="70CFEE"/>
              <w:right w:val="nil"/>
            </w:tcBorders>
            <w:shd w:val="clear" w:color="auto" w:fill="EBF6FC"/>
            <w:tcMar>
              <w:top w:w="72" w:type="dxa"/>
              <w:left w:w="144" w:type="dxa"/>
              <w:bottom w:w="72" w:type="dxa"/>
              <w:right w:w="144" w:type="dxa"/>
            </w:tcMar>
          </w:tcPr>
          <w:p w:rsidR="00C03398" w:rsidRDefault="00C03398" w:rsidP="00333337">
            <w:pPr>
              <w:pStyle w:val="LGTdoc"/>
              <w:spacing w:afterLines="0" w:line="240" w:lineRule="auto"/>
              <w:rPr>
                <w:sz w:val="18"/>
                <w:szCs w:val="22"/>
                <w:lang w:val="en-US"/>
              </w:rPr>
            </w:pPr>
            <w:r>
              <w:rPr>
                <w:sz w:val="18"/>
                <w:szCs w:val="22"/>
                <w:lang w:val="en-US"/>
              </w:rPr>
              <w:t>16%</w:t>
            </w:r>
          </w:p>
        </w:tc>
        <w:tc>
          <w:tcPr>
            <w:tcW w:w="358" w:type="pct"/>
            <w:tcBorders>
              <w:top w:val="single" w:sz="8" w:space="0" w:color="70CFEE"/>
              <w:left w:val="nil"/>
              <w:bottom w:val="single" w:sz="8" w:space="0" w:color="70CFEE"/>
              <w:right w:val="nil"/>
            </w:tcBorders>
            <w:shd w:val="clear" w:color="auto" w:fill="EBF6FC"/>
            <w:tcMar>
              <w:top w:w="72" w:type="dxa"/>
              <w:left w:w="144" w:type="dxa"/>
              <w:bottom w:w="72" w:type="dxa"/>
              <w:right w:w="144" w:type="dxa"/>
            </w:tcMar>
          </w:tcPr>
          <w:p w:rsidR="00C03398" w:rsidRDefault="00C03398" w:rsidP="00333337">
            <w:pPr>
              <w:pStyle w:val="LGTdoc"/>
              <w:spacing w:afterLines="0" w:line="240" w:lineRule="auto"/>
              <w:rPr>
                <w:sz w:val="18"/>
                <w:szCs w:val="22"/>
                <w:lang w:val="en-US"/>
              </w:rPr>
            </w:pPr>
            <w:r>
              <w:rPr>
                <w:sz w:val="18"/>
                <w:szCs w:val="22"/>
                <w:lang w:val="en-US"/>
              </w:rPr>
              <w:t>16%</w:t>
            </w:r>
          </w:p>
        </w:tc>
        <w:tc>
          <w:tcPr>
            <w:tcW w:w="358" w:type="pct"/>
            <w:tcBorders>
              <w:top w:val="single" w:sz="8" w:space="0" w:color="70CFEE"/>
              <w:left w:val="nil"/>
              <w:bottom w:val="single" w:sz="8" w:space="0" w:color="70CFEE"/>
              <w:right w:val="nil"/>
            </w:tcBorders>
            <w:shd w:val="clear" w:color="auto" w:fill="EBF6FC"/>
            <w:tcMar>
              <w:top w:w="72" w:type="dxa"/>
              <w:left w:w="144" w:type="dxa"/>
              <w:bottom w:w="72" w:type="dxa"/>
              <w:right w:w="144" w:type="dxa"/>
            </w:tcMar>
          </w:tcPr>
          <w:p w:rsidR="00C03398" w:rsidRDefault="00C03398" w:rsidP="00333337">
            <w:pPr>
              <w:pStyle w:val="LGTdoc"/>
              <w:spacing w:afterLines="0" w:line="240" w:lineRule="auto"/>
              <w:rPr>
                <w:sz w:val="18"/>
                <w:szCs w:val="22"/>
                <w:lang w:val="en-US"/>
              </w:rPr>
            </w:pPr>
            <w:r>
              <w:rPr>
                <w:sz w:val="18"/>
                <w:szCs w:val="22"/>
                <w:lang w:val="en-US"/>
              </w:rPr>
              <w:t>16%</w:t>
            </w:r>
          </w:p>
        </w:tc>
        <w:tc>
          <w:tcPr>
            <w:tcW w:w="358" w:type="pct"/>
            <w:tcBorders>
              <w:top w:val="single" w:sz="8" w:space="0" w:color="70CFEE"/>
              <w:left w:val="nil"/>
              <w:bottom w:val="single" w:sz="8" w:space="0" w:color="70CFEE"/>
              <w:right w:val="nil"/>
            </w:tcBorders>
            <w:shd w:val="clear" w:color="auto" w:fill="EBF6FC"/>
            <w:tcMar>
              <w:top w:w="72" w:type="dxa"/>
              <w:left w:w="144" w:type="dxa"/>
              <w:bottom w:w="72" w:type="dxa"/>
              <w:right w:w="144" w:type="dxa"/>
            </w:tcMar>
          </w:tcPr>
          <w:p w:rsidR="00C03398" w:rsidRDefault="00C03398" w:rsidP="00333337">
            <w:pPr>
              <w:pStyle w:val="LGTdoc"/>
              <w:spacing w:afterLines="0" w:line="240" w:lineRule="auto"/>
              <w:rPr>
                <w:sz w:val="18"/>
                <w:szCs w:val="22"/>
                <w:lang w:val="en-US"/>
              </w:rPr>
            </w:pPr>
            <w:r>
              <w:rPr>
                <w:sz w:val="18"/>
                <w:szCs w:val="22"/>
                <w:lang w:val="en-US"/>
              </w:rPr>
              <w:t>16%</w:t>
            </w:r>
          </w:p>
        </w:tc>
        <w:tc>
          <w:tcPr>
            <w:tcW w:w="348" w:type="pct"/>
            <w:tcBorders>
              <w:top w:val="single" w:sz="8" w:space="0" w:color="70CFEE"/>
              <w:left w:val="nil"/>
              <w:bottom w:val="single" w:sz="8" w:space="0" w:color="70CFEE"/>
              <w:right w:val="nil"/>
            </w:tcBorders>
            <w:shd w:val="clear" w:color="auto" w:fill="EBF6FC"/>
            <w:tcMar>
              <w:top w:w="72" w:type="dxa"/>
              <w:left w:w="144" w:type="dxa"/>
              <w:bottom w:w="72" w:type="dxa"/>
              <w:right w:w="144" w:type="dxa"/>
            </w:tcMar>
          </w:tcPr>
          <w:p w:rsidR="00C03398" w:rsidRDefault="00C03398" w:rsidP="00333337">
            <w:pPr>
              <w:pStyle w:val="LGTdoc"/>
              <w:spacing w:afterLines="0" w:line="240" w:lineRule="auto"/>
              <w:rPr>
                <w:sz w:val="18"/>
                <w:szCs w:val="22"/>
                <w:lang w:val="en-US"/>
              </w:rPr>
            </w:pPr>
            <w:r>
              <w:rPr>
                <w:sz w:val="18"/>
                <w:szCs w:val="22"/>
                <w:lang w:val="en-US"/>
              </w:rPr>
              <w:t>16%</w:t>
            </w:r>
          </w:p>
        </w:tc>
      </w:tr>
    </w:tbl>
    <w:p w:rsidR="00C03398" w:rsidRPr="002E46A1" w:rsidRDefault="00C03398" w:rsidP="00281957">
      <w:pPr>
        <w:pStyle w:val="LGTdoc"/>
        <w:spacing w:afterLines="0" w:line="312" w:lineRule="auto"/>
        <w:jc w:val="center"/>
        <w:rPr>
          <w:sz w:val="24"/>
          <w:szCs w:val="22"/>
        </w:rPr>
      </w:pPr>
    </w:p>
    <w:p w:rsidR="00281957" w:rsidRPr="00C43713" w:rsidRDefault="00281957" w:rsidP="00281957">
      <w:pPr>
        <w:spacing w:before="120"/>
        <w:rPr>
          <w:b/>
          <w:i/>
          <w:sz w:val="22"/>
          <w:szCs w:val="22"/>
        </w:rPr>
      </w:pPr>
      <w:r w:rsidRPr="00C43713">
        <w:rPr>
          <w:b/>
          <w:i/>
          <w:sz w:val="22"/>
          <w:szCs w:val="22"/>
        </w:rPr>
        <w:t>Observation</w:t>
      </w:r>
      <w:r>
        <w:rPr>
          <w:b/>
          <w:i/>
          <w:sz w:val="22"/>
          <w:szCs w:val="22"/>
        </w:rPr>
        <w:t xml:space="preserve"> 1</w:t>
      </w:r>
      <w:r w:rsidRPr="00C43713">
        <w:rPr>
          <w:b/>
          <w:i/>
          <w:sz w:val="22"/>
          <w:szCs w:val="22"/>
        </w:rPr>
        <w:t>:</w:t>
      </w:r>
      <w:r>
        <w:rPr>
          <w:b/>
          <w:i/>
          <w:sz w:val="22"/>
          <w:szCs w:val="22"/>
        </w:rPr>
        <w:t xml:space="preserve"> High SRS sequence collision probability is observed for the shorter sequence length. </w:t>
      </w:r>
    </w:p>
    <w:p w:rsidR="00281957" w:rsidRDefault="00281957" w:rsidP="00281957">
      <w:pPr>
        <w:spacing w:before="120"/>
        <w:rPr>
          <w:szCs w:val="22"/>
        </w:rPr>
      </w:pPr>
      <w:r w:rsidRPr="00C43713">
        <w:rPr>
          <w:b/>
          <w:i/>
          <w:sz w:val="22"/>
          <w:szCs w:val="22"/>
        </w:rPr>
        <w:t>Observation</w:t>
      </w:r>
      <w:r>
        <w:rPr>
          <w:b/>
          <w:i/>
          <w:sz w:val="22"/>
          <w:szCs w:val="22"/>
        </w:rPr>
        <w:t xml:space="preserve"> 2</w:t>
      </w:r>
      <w:r w:rsidRPr="00C43713">
        <w:rPr>
          <w:b/>
          <w:i/>
          <w:sz w:val="22"/>
          <w:szCs w:val="22"/>
        </w:rPr>
        <w:t>:</w:t>
      </w:r>
      <w:r>
        <w:rPr>
          <w:b/>
          <w:i/>
          <w:sz w:val="22"/>
          <w:szCs w:val="22"/>
        </w:rPr>
        <w:t xml:space="preserve"> Assigning a larger bandwidth, e.g., </w:t>
      </w:r>
      <w:r w:rsidR="00843404">
        <w:rPr>
          <w:b/>
          <w:i/>
          <w:sz w:val="22"/>
          <w:szCs w:val="22"/>
        </w:rPr>
        <w:t>32</w:t>
      </w:r>
      <w:r>
        <w:rPr>
          <w:b/>
          <w:i/>
          <w:sz w:val="22"/>
          <w:szCs w:val="22"/>
        </w:rPr>
        <w:t xml:space="preserve"> RBs, for RPF = 4 SRS transmission could reduce the collision probability to lower than 10%. </w:t>
      </w:r>
    </w:p>
    <w:p w:rsidR="00915774" w:rsidRDefault="00281957" w:rsidP="00475E1E">
      <w:pPr>
        <w:pStyle w:val="LGTdoc"/>
        <w:spacing w:afterLines="0" w:after="120" w:line="240" w:lineRule="auto"/>
        <w:rPr>
          <w:szCs w:val="22"/>
          <w:lang w:eastAsia="ja-JP"/>
        </w:rPr>
      </w:pPr>
      <w:r>
        <w:rPr>
          <w:szCs w:val="22"/>
        </w:rPr>
        <w:t xml:space="preserve">During the RAN1#82bis meeting, </w:t>
      </w:r>
      <w:r>
        <w:rPr>
          <w:rFonts w:eastAsia="MS Mincho"/>
          <w:lang w:val="en-US" w:eastAsia="ja-JP"/>
        </w:rPr>
        <w:t>virtual cell ID for SRS was proposed to solve the potential sequence collision. For example, UE configured with RPF = 4 can be assigned with a virtual cell ID for SRS sequence generation. However, based on the above analysis, the use of virtual cell ID cannot completely avoid sequence collision</w:t>
      </w:r>
      <w:r w:rsidR="00475E1E">
        <w:rPr>
          <w:rFonts w:eastAsia="MS Mincho"/>
          <w:lang w:val="en-US" w:eastAsia="ja-JP"/>
        </w:rPr>
        <w:t xml:space="preserve"> because the index q is determined by both the sequence length and the cell ID</w:t>
      </w:r>
      <w:r>
        <w:rPr>
          <w:rFonts w:eastAsia="MS Mincho"/>
          <w:lang w:val="en-US" w:eastAsia="ja-JP"/>
        </w:rPr>
        <w:t xml:space="preserve">. </w:t>
      </w:r>
      <w:r w:rsidR="00475E1E">
        <w:rPr>
          <w:rFonts w:eastAsia="MS Mincho"/>
          <w:lang w:val="en-US" w:eastAsia="ja-JP"/>
        </w:rPr>
        <w:t xml:space="preserve">Additional virtual cell ID </w:t>
      </w:r>
      <w:r w:rsidR="001D4961">
        <w:rPr>
          <w:rFonts w:eastAsia="MS Mincho"/>
          <w:lang w:val="en-US" w:eastAsia="ja-JP"/>
        </w:rPr>
        <w:t>is only to</w:t>
      </w:r>
      <w:r w:rsidR="00475E1E">
        <w:rPr>
          <w:rFonts w:eastAsia="MS Mincho"/>
          <w:lang w:val="en-US" w:eastAsia="ja-JP"/>
        </w:rPr>
        <w:t xml:space="preserve"> reduce the collision probability but not </w:t>
      </w:r>
      <w:r w:rsidR="001D4961">
        <w:rPr>
          <w:rFonts w:eastAsia="MS Mincho"/>
          <w:lang w:val="en-US" w:eastAsia="ja-JP"/>
        </w:rPr>
        <w:t xml:space="preserve">to </w:t>
      </w:r>
      <w:r w:rsidR="00475E1E">
        <w:rPr>
          <w:rFonts w:eastAsia="MS Mincho"/>
          <w:lang w:val="en-US" w:eastAsia="ja-JP"/>
        </w:rPr>
        <w:t xml:space="preserve">remove the collision. </w:t>
      </w:r>
    </w:p>
    <w:p w:rsidR="000C0F2F" w:rsidRDefault="000C0F2F" w:rsidP="000C0F2F">
      <w:pPr>
        <w:rPr>
          <w:b/>
          <w:i/>
          <w:sz w:val="22"/>
          <w:szCs w:val="22"/>
        </w:rPr>
      </w:pPr>
      <w:r>
        <w:rPr>
          <w:b/>
          <w:i/>
          <w:sz w:val="22"/>
          <w:szCs w:val="22"/>
        </w:rPr>
        <w:lastRenderedPageBreak/>
        <w:t>Observation</w:t>
      </w:r>
      <w:r w:rsidRPr="00C831F1">
        <w:rPr>
          <w:b/>
          <w:i/>
          <w:sz w:val="22"/>
          <w:szCs w:val="22"/>
        </w:rPr>
        <w:t xml:space="preserve"> </w:t>
      </w:r>
      <w:r w:rsidR="00475E1E">
        <w:rPr>
          <w:b/>
          <w:i/>
          <w:sz w:val="22"/>
          <w:szCs w:val="22"/>
        </w:rPr>
        <w:t>3</w:t>
      </w:r>
      <w:r w:rsidRPr="00C831F1">
        <w:rPr>
          <w:b/>
          <w:i/>
          <w:sz w:val="22"/>
          <w:szCs w:val="22"/>
        </w:rPr>
        <w:t xml:space="preserve">: </w:t>
      </w:r>
      <w:r>
        <w:rPr>
          <w:b/>
          <w:i/>
          <w:sz w:val="22"/>
          <w:szCs w:val="22"/>
        </w:rPr>
        <w:t xml:space="preserve">Virtual cell ID based approach cannot </w:t>
      </w:r>
      <w:r w:rsidR="00475E1E">
        <w:rPr>
          <w:b/>
          <w:i/>
          <w:sz w:val="22"/>
          <w:szCs w:val="22"/>
        </w:rPr>
        <w:t>remove</w:t>
      </w:r>
      <w:r>
        <w:rPr>
          <w:b/>
          <w:i/>
          <w:sz w:val="22"/>
          <w:szCs w:val="22"/>
        </w:rPr>
        <w:t xml:space="preserve"> SRS sequence collision between different cells.</w:t>
      </w:r>
    </w:p>
    <w:p w:rsidR="00DC5DBA" w:rsidRDefault="00D7007D" w:rsidP="00BC3EC6">
      <w:pPr>
        <w:pStyle w:val="B1"/>
        <w:ind w:left="0" w:firstLine="0"/>
        <w:jc w:val="both"/>
        <w:rPr>
          <w:sz w:val="22"/>
          <w:szCs w:val="22"/>
          <w:lang w:eastAsia="ja-JP"/>
        </w:rPr>
      </w:pPr>
      <w:r>
        <w:rPr>
          <w:sz w:val="22"/>
          <w:szCs w:val="22"/>
          <w:lang w:eastAsia="ja-JP"/>
        </w:rPr>
        <w:t xml:space="preserve">An </w:t>
      </w:r>
      <w:r w:rsidR="00BC3EC6">
        <w:rPr>
          <w:sz w:val="22"/>
          <w:szCs w:val="22"/>
          <w:lang w:eastAsia="ja-JP"/>
        </w:rPr>
        <w:t xml:space="preserve">approach </w:t>
      </w:r>
      <w:r>
        <w:rPr>
          <w:sz w:val="22"/>
          <w:szCs w:val="22"/>
          <w:lang w:eastAsia="ja-JP"/>
        </w:rPr>
        <w:t xml:space="preserve">was </w:t>
      </w:r>
      <w:r w:rsidR="00BC3EC6">
        <w:rPr>
          <w:sz w:val="22"/>
          <w:szCs w:val="22"/>
          <w:lang w:eastAsia="ja-JP"/>
        </w:rPr>
        <w:t xml:space="preserve">proposed in [2] to address the potential SRS sequence collision issue </w:t>
      </w:r>
      <w:r>
        <w:rPr>
          <w:sz w:val="22"/>
          <w:szCs w:val="22"/>
          <w:lang w:eastAsia="ja-JP"/>
        </w:rPr>
        <w:t>via</w:t>
      </w:r>
      <w:r w:rsidR="00BC3EC6">
        <w:rPr>
          <w:sz w:val="22"/>
          <w:szCs w:val="22"/>
          <w:lang w:eastAsia="ja-JP"/>
        </w:rPr>
        <w:t xml:space="preserve"> deriving a new root ZC sequence index</w:t>
      </w:r>
      <w:r>
        <w:rPr>
          <w:sz w:val="22"/>
          <w:szCs w:val="22"/>
          <w:lang w:eastAsia="ja-JP"/>
        </w:rPr>
        <w:t xml:space="preserve"> for RPF = 4 SRS sequence, e.g., </w:t>
      </w:r>
      <m:oMath>
        <m:sSub>
          <m:sSubPr>
            <m:ctrlPr>
              <w:rPr>
                <w:rFonts w:ascii="Cambria Math" w:hAnsi="Cambria Math"/>
                <w:sz w:val="22"/>
                <w:szCs w:val="22"/>
                <w:lang w:eastAsia="ja-JP"/>
              </w:rPr>
            </m:ctrlPr>
          </m:sSubPr>
          <m:e>
            <m:r>
              <m:rPr>
                <m:sty m:val="p"/>
              </m:rPr>
              <w:rPr>
                <w:rFonts w:ascii="Cambria Math" w:hAnsi="Cambria Math"/>
                <w:sz w:val="22"/>
                <w:szCs w:val="22"/>
                <w:lang w:eastAsia="ja-JP"/>
              </w:rPr>
              <m:t>q</m:t>
            </m:r>
          </m:e>
          <m:sub>
            <m:r>
              <m:rPr>
                <m:sty m:val="p"/>
              </m:rPr>
              <w:rPr>
                <w:rFonts w:ascii="Cambria Math" w:hAnsi="Cambria Math"/>
                <w:sz w:val="22"/>
                <w:szCs w:val="22"/>
                <w:lang w:eastAsia="ja-JP"/>
              </w:rPr>
              <m:t>comb4</m:t>
            </m:r>
          </m:sub>
        </m:sSub>
        <m:r>
          <m:rPr>
            <m:sty m:val="p"/>
          </m:rPr>
          <w:rPr>
            <w:rFonts w:ascii="Cambria Math" w:hAnsi="Cambria Math"/>
            <w:sz w:val="22"/>
            <w:szCs w:val="22"/>
            <w:lang w:eastAsia="ja-JP"/>
          </w:rPr>
          <m:t>=4∙</m:t>
        </m:r>
        <m:sSub>
          <m:sSubPr>
            <m:ctrlPr>
              <w:rPr>
                <w:rFonts w:ascii="Cambria Math" w:hAnsi="Cambria Math"/>
                <w:sz w:val="22"/>
                <w:szCs w:val="22"/>
                <w:lang w:eastAsia="ja-JP"/>
              </w:rPr>
            </m:ctrlPr>
          </m:sSubPr>
          <m:e>
            <m:r>
              <w:rPr>
                <w:rFonts w:ascii="Cambria Math" w:hAnsi="Cambria Math"/>
                <w:sz w:val="22"/>
                <w:szCs w:val="22"/>
                <w:lang w:eastAsia="ja-JP"/>
              </w:rPr>
              <m:t>q</m:t>
            </m:r>
          </m:e>
          <m:sub>
            <m:r>
              <m:rPr>
                <m:sty m:val="p"/>
              </m:rPr>
              <w:rPr>
                <w:rFonts w:ascii="Cambria Math" w:hAnsi="Cambria Math"/>
                <w:sz w:val="22"/>
                <w:szCs w:val="22"/>
                <w:lang w:eastAsia="ja-JP"/>
              </w:rPr>
              <m:t>comb2</m:t>
            </m:r>
          </m:sub>
        </m:sSub>
      </m:oMath>
      <w:r w:rsidR="00BC3EC6">
        <w:rPr>
          <w:sz w:val="22"/>
          <w:szCs w:val="22"/>
          <w:lang w:eastAsia="ja-JP"/>
        </w:rPr>
        <w:t xml:space="preserve">. </w:t>
      </w:r>
      <w:r>
        <w:rPr>
          <w:sz w:val="22"/>
          <w:szCs w:val="22"/>
          <w:lang w:eastAsia="ja-JP"/>
        </w:rPr>
        <w:t xml:space="preserve">This is because if </w:t>
      </w:r>
      <m:oMath>
        <m:sSubSup>
          <m:sSubSupPr>
            <m:ctrlPr>
              <w:rPr>
                <w:rFonts w:ascii="Cambria Math" w:hAnsi="Cambria Math"/>
                <w:sz w:val="22"/>
                <w:szCs w:val="22"/>
                <w:lang w:eastAsia="ja-JP"/>
              </w:rPr>
            </m:ctrlPr>
          </m:sSubSupPr>
          <m:e>
            <m:r>
              <m:rPr>
                <m:sty m:val="p"/>
              </m:rPr>
              <w:rPr>
                <w:rFonts w:ascii="Cambria Math" w:hAnsi="Cambria Math"/>
                <w:sz w:val="22"/>
                <w:szCs w:val="22"/>
                <w:lang w:eastAsia="ja-JP"/>
              </w:rPr>
              <m:t>q</m:t>
            </m:r>
          </m:e>
          <m:sub>
            <m:r>
              <m:rPr>
                <m:sty m:val="p"/>
              </m:rPr>
              <w:rPr>
                <w:rFonts w:ascii="Cambria Math" w:hAnsi="Cambria Math"/>
                <w:sz w:val="22"/>
                <w:szCs w:val="22"/>
                <w:lang w:eastAsia="ja-JP"/>
              </w:rPr>
              <m:t>comb2</m:t>
            </m:r>
          </m:sub>
          <m:sup>
            <m:r>
              <m:rPr>
                <m:sty m:val="p"/>
              </m:rPr>
              <w:rPr>
                <w:rFonts w:ascii="Cambria Math" w:hAnsi="Cambria Math"/>
                <w:sz w:val="22"/>
                <w:szCs w:val="22"/>
                <w:lang w:eastAsia="ja-JP"/>
              </w:rPr>
              <m:t>cell1</m:t>
            </m:r>
          </m:sup>
        </m:sSubSup>
        <m:r>
          <w:rPr>
            <w:rFonts w:ascii="Cambria Math" w:hAnsi="Cambria Math"/>
            <w:sz w:val="22"/>
            <w:szCs w:val="22"/>
            <w:lang w:eastAsia="ja-JP"/>
          </w:rPr>
          <m:t>≠</m:t>
        </m:r>
        <m:sSubSup>
          <m:sSubSupPr>
            <m:ctrlPr>
              <w:rPr>
                <w:rFonts w:ascii="Cambria Math" w:hAnsi="Cambria Math"/>
                <w:sz w:val="22"/>
                <w:szCs w:val="22"/>
                <w:lang w:eastAsia="ja-JP"/>
              </w:rPr>
            </m:ctrlPr>
          </m:sSubSupPr>
          <m:e>
            <m:r>
              <m:rPr>
                <m:sty m:val="p"/>
              </m:rPr>
              <w:rPr>
                <w:rFonts w:ascii="Cambria Math" w:hAnsi="Cambria Math"/>
                <w:sz w:val="22"/>
                <w:szCs w:val="22"/>
                <w:lang w:eastAsia="ja-JP"/>
              </w:rPr>
              <m:t>q</m:t>
            </m:r>
          </m:e>
          <m:sub>
            <m:r>
              <m:rPr>
                <m:sty m:val="p"/>
              </m:rPr>
              <w:rPr>
                <w:rFonts w:ascii="Cambria Math" w:hAnsi="Cambria Math"/>
                <w:sz w:val="22"/>
                <w:szCs w:val="22"/>
                <w:lang w:eastAsia="ja-JP"/>
              </w:rPr>
              <m:t>comb2</m:t>
            </m:r>
          </m:sub>
          <m:sup>
            <m:r>
              <m:rPr>
                <m:sty m:val="p"/>
              </m:rPr>
              <w:rPr>
                <w:rFonts w:ascii="Cambria Math" w:hAnsi="Cambria Math"/>
                <w:sz w:val="22"/>
                <w:szCs w:val="22"/>
                <w:lang w:eastAsia="ja-JP"/>
              </w:rPr>
              <m:t>cell2</m:t>
            </m:r>
          </m:sup>
        </m:sSubSup>
      </m:oMath>
      <w:r>
        <w:rPr>
          <w:sz w:val="22"/>
          <w:szCs w:val="22"/>
          <w:lang w:eastAsia="ja-JP"/>
        </w:rPr>
        <w:t xml:space="preserve"> then </w:t>
      </w:r>
      <m:oMath>
        <m:sSubSup>
          <m:sSubSupPr>
            <m:ctrlPr>
              <w:rPr>
                <w:rFonts w:ascii="Cambria Math" w:hAnsi="Cambria Math"/>
                <w:sz w:val="22"/>
                <w:szCs w:val="22"/>
                <w:lang w:eastAsia="ja-JP"/>
              </w:rPr>
            </m:ctrlPr>
          </m:sSubSupPr>
          <m:e>
            <m:r>
              <m:rPr>
                <m:sty m:val="p"/>
              </m:rPr>
              <w:rPr>
                <w:rFonts w:ascii="Cambria Math" w:hAnsi="Cambria Math"/>
                <w:sz w:val="22"/>
                <w:szCs w:val="22"/>
                <w:lang w:eastAsia="ja-JP"/>
              </w:rPr>
              <m:t>q</m:t>
            </m:r>
          </m:e>
          <m:sub>
            <m:r>
              <m:rPr>
                <m:sty m:val="p"/>
              </m:rPr>
              <w:rPr>
                <w:rFonts w:ascii="Cambria Math" w:hAnsi="Cambria Math"/>
                <w:sz w:val="22"/>
                <w:szCs w:val="22"/>
                <w:lang w:eastAsia="ja-JP"/>
              </w:rPr>
              <m:t>comb4</m:t>
            </m:r>
          </m:sub>
          <m:sup>
            <m:r>
              <m:rPr>
                <m:sty m:val="p"/>
              </m:rPr>
              <w:rPr>
                <w:rFonts w:ascii="Cambria Math" w:hAnsi="Cambria Math"/>
                <w:sz w:val="22"/>
                <w:szCs w:val="22"/>
                <w:lang w:eastAsia="ja-JP"/>
              </w:rPr>
              <m:t>cell1</m:t>
            </m:r>
          </m:sup>
        </m:sSubSup>
        <m:r>
          <w:rPr>
            <w:rFonts w:ascii="Cambria Math" w:hAnsi="Cambria Math"/>
            <w:sz w:val="22"/>
            <w:szCs w:val="22"/>
            <w:lang w:eastAsia="ja-JP"/>
          </w:rPr>
          <m:t>≠4∙</m:t>
        </m:r>
        <m:sSubSup>
          <m:sSubSupPr>
            <m:ctrlPr>
              <w:rPr>
                <w:rFonts w:ascii="Cambria Math" w:hAnsi="Cambria Math"/>
                <w:sz w:val="22"/>
                <w:szCs w:val="22"/>
                <w:lang w:eastAsia="ja-JP"/>
              </w:rPr>
            </m:ctrlPr>
          </m:sSubSupPr>
          <m:e>
            <m:r>
              <m:rPr>
                <m:sty m:val="p"/>
              </m:rPr>
              <w:rPr>
                <w:rFonts w:ascii="Cambria Math" w:hAnsi="Cambria Math"/>
                <w:sz w:val="22"/>
                <w:szCs w:val="22"/>
                <w:lang w:eastAsia="ja-JP"/>
              </w:rPr>
              <m:t>q</m:t>
            </m:r>
          </m:e>
          <m:sub>
            <m:r>
              <m:rPr>
                <m:sty m:val="p"/>
              </m:rPr>
              <w:rPr>
                <w:rFonts w:ascii="Cambria Math" w:hAnsi="Cambria Math"/>
                <w:sz w:val="22"/>
                <w:szCs w:val="22"/>
                <w:lang w:eastAsia="ja-JP"/>
              </w:rPr>
              <m:t>comb2</m:t>
            </m:r>
          </m:sub>
          <m:sup>
            <m:r>
              <m:rPr>
                <m:sty m:val="p"/>
              </m:rPr>
              <w:rPr>
                <w:rFonts w:ascii="Cambria Math" w:hAnsi="Cambria Math"/>
                <w:sz w:val="22"/>
                <w:szCs w:val="22"/>
                <w:lang w:eastAsia="ja-JP"/>
              </w:rPr>
              <m:t>cell2</m:t>
            </m:r>
          </m:sup>
        </m:sSubSup>
      </m:oMath>
      <w:r>
        <w:rPr>
          <w:sz w:val="22"/>
          <w:szCs w:val="22"/>
          <w:lang w:eastAsia="ja-JP"/>
        </w:rPr>
        <w:t xml:space="preserve"> </w:t>
      </w:r>
      <w:r w:rsidR="00DC5DBA">
        <w:rPr>
          <w:sz w:val="22"/>
          <w:szCs w:val="22"/>
          <w:lang w:eastAsia="ja-JP"/>
        </w:rPr>
        <w:t xml:space="preserve">and </w:t>
      </w:r>
      <w:r>
        <w:rPr>
          <w:sz w:val="22"/>
          <w:szCs w:val="22"/>
          <w:lang w:eastAsia="ja-JP"/>
        </w:rPr>
        <w:t>thereby S</w:t>
      </w:r>
      <w:r w:rsidR="00BC3EC6">
        <w:rPr>
          <w:sz w:val="22"/>
          <w:szCs w:val="22"/>
          <w:lang w:eastAsia="ja-JP"/>
        </w:rPr>
        <w:t>RS sequence collision</w:t>
      </w:r>
      <w:r w:rsidR="00DC5DBA">
        <w:rPr>
          <w:sz w:val="22"/>
          <w:szCs w:val="22"/>
          <w:lang w:eastAsia="ja-JP"/>
        </w:rPr>
        <w:t xml:space="preserve"> between different cells is avoided. It is noted that this approach essentially introduce</w:t>
      </w:r>
      <w:r w:rsidR="001D4961">
        <w:rPr>
          <w:sz w:val="22"/>
          <w:szCs w:val="22"/>
          <w:lang w:eastAsia="ja-JP"/>
        </w:rPr>
        <w:t>s</w:t>
      </w:r>
      <w:r w:rsidR="00DC5DBA">
        <w:rPr>
          <w:sz w:val="22"/>
          <w:szCs w:val="22"/>
          <w:lang w:eastAsia="ja-JP"/>
        </w:rPr>
        <w:t xml:space="preserve"> a new root ZC sequence for RPF = 4 SRS transmission.</w:t>
      </w:r>
    </w:p>
    <w:p w:rsidR="00DC5DBA" w:rsidRDefault="00DC5DBA" w:rsidP="00AB51D3">
      <w:pPr>
        <w:pStyle w:val="B1"/>
        <w:ind w:left="0" w:firstLine="0"/>
        <w:jc w:val="both"/>
        <w:rPr>
          <w:sz w:val="22"/>
          <w:szCs w:val="22"/>
          <w:lang w:eastAsia="ja-JP"/>
        </w:rPr>
      </w:pPr>
      <w:r>
        <w:rPr>
          <w:sz w:val="22"/>
          <w:szCs w:val="22"/>
          <w:lang w:eastAsia="ja-JP"/>
        </w:rPr>
        <w:t>Alternatively, it is possible to re-order the mapping of the root ZC sequence to the base sequence for RPF = 4 SRS as the following</w:t>
      </w:r>
    </w:p>
    <w:p w:rsidR="00BC3EC6" w:rsidRPr="00260359" w:rsidRDefault="008440D5" w:rsidP="00BC3EC6">
      <w:pPr>
        <w:pStyle w:val="B1"/>
        <w:ind w:left="0" w:firstLine="0"/>
        <w:jc w:val="both"/>
        <w:rPr>
          <w:sz w:val="22"/>
          <w:szCs w:val="22"/>
          <w:lang w:eastAsia="ja-JP"/>
        </w:rPr>
      </w:pPr>
      <m:oMathPara>
        <m:oMath>
          <m:sSub>
            <m:sSubPr>
              <m:ctrlPr>
                <w:rPr>
                  <w:rFonts w:ascii="Cambria Math" w:hAnsi="Cambria Math"/>
                  <w:i/>
                  <w:iCs/>
                  <w:sz w:val="22"/>
                  <w:szCs w:val="22"/>
                  <w:lang w:eastAsia="ja-JP"/>
                </w:rPr>
              </m:ctrlPr>
            </m:sSubPr>
            <m:e>
              <m:acc>
                <m:accPr>
                  <m:chr m:val="̅"/>
                  <m:ctrlPr>
                    <w:rPr>
                      <w:rFonts w:ascii="Cambria Math" w:hAnsi="Cambria Math"/>
                      <w:i/>
                      <w:iCs/>
                      <w:sz w:val="22"/>
                      <w:szCs w:val="22"/>
                      <w:lang w:eastAsia="ja-JP"/>
                    </w:rPr>
                  </m:ctrlPr>
                </m:accPr>
                <m:e>
                  <m:r>
                    <w:rPr>
                      <w:rFonts w:ascii="Cambria Math" w:hAnsi="Cambria Math"/>
                      <w:sz w:val="22"/>
                      <w:szCs w:val="22"/>
                      <w:lang w:eastAsia="ja-JP"/>
                    </w:rPr>
                    <m:t>r</m:t>
                  </m:r>
                </m:e>
              </m:acc>
            </m:e>
            <m:sub>
              <m:r>
                <w:rPr>
                  <w:rFonts w:ascii="Cambria Math" w:hAnsi="Cambria Math"/>
                  <w:sz w:val="22"/>
                  <w:szCs w:val="22"/>
                  <w:lang w:eastAsia="ja-JP"/>
                </w:rPr>
                <m:t>u,v</m:t>
              </m:r>
            </m:sub>
          </m:sSub>
          <m:d>
            <m:dPr>
              <m:ctrlPr>
                <w:rPr>
                  <w:rFonts w:ascii="Cambria Math" w:hAnsi="Cambria Math"/>
                  <w:i/>
                  <w:iCs/>
                  <w:sz w:val="22"/>
                  <w:szCs w:val="22"/>
                  <w:lang w:eastAsia="ja-JP"/>
                </w:rPr>
              </m:ctrlPr>
            </m:dPr>
            <m:e>
              <m:r>
                <m:rPr>
                  <m:sty m:val="p"/>
                </m:rPr>
                <w:rPr>
                  <w:rFonts w:ascii="Cambria Math" w:hAnsi="Cambria Math"/>
                  <w:sz w:val="22"/>
                  <w:szCs w:val="22"/>
                  <w:lang w:eastAsia="ja-JP"/>
                </w:rPr>
                <m:t>n</m:t>
              </m:r>
            </m:e>
          </m:d>
          <m:r>
            <w:rPr>
              <w:rFonts w:ascii="Cambria Math" w:hAnsi="Cambria Math"/>
              <w:sz w:val="22"/>
              <w:szCs w:val="22"/>
              <w:lang w:eastAsia="ja-JP"/>
            </w:rPr>
            <m:t>=</m:t>
          </m:r>
          <m:sSub>
            <m:sSubPr>
              <m:ctrlPr>
                <w:rPr>
                  <w:rFonts w:ascii="Cambria Math" w:hAnsi="Cambria Math"/>
                  <w:i/>
                  <w:sz w:val="22"/>
                  <w:szCs w:val="22"/>
                  <w:lang w:eastAsia="ja-JP"/>
                </w:rPr>
              </m:ctrlPr>
            </m:sSubPr>
            <m:e>
              <m:r>
                <w:rPr>
                  <w:rFonts w:ascii="Cambria Math" w:hAnsi="Cambria Math"/>
                  <w:sz w:val="22"/>
                  <w:szCs w:val="22"/>
                  <w:lang w:eastAsia="ja-JP"/>
                </w:rPr>
                <m:t>x</m:t>
              </m:r>
            </m:e>
            <m:sub>
              <m:r>
                <w:rPr>
                  <w:rFonts w:ascii="Cambria Math" w:hAnsi="Cambria Math"/>
                  <w:sz w:val="22"/>
                  <w:szCs w:val="22"/>
                  <w:lang w:eastAsia="ja-JP"/>
                </w:rPr>
                <m:t>q</m:t>
              </m:r>
            </m:sub>
          </m:sSub>
          <m:d>
            <m:dPr>
              <m:ctrlPr>
                <w:rPr>
                  <w:rFonts w:ascii="Cambria Math" w:hAnsi="Cambria Math"/>
                  <w:i/>
                  <w:sz w:val="22"/>
                  <w:szCs w:val="22"/>
                  <w:lang w:eastAsia="ja-JP"/>
                </w:rPr>
              </m:ctrlPr>
            </m:dPr>
            <m:e>
              <m:r>
                <w:rPr>
                  <w:rFonts w:ascii="Cambria Math" w:hAnsi="Cambria Math"/>
                  <w:sz w:val="22"/>
                  <w:szCs w:val="22"/>
                  <w:lang w:eastAsia="ja-JP"/>
                </w:rPr>
                <m:t xml:space="preserve">2n Mod </m:t>
              </m:r>
              <m:sSubSup>
                <m:sSubSupPr>
                  <m:ctrlPr>
                    <w:rPr>
                      <w:rFonts w:ascii="Cambria Math" w:hAnsi="Cambria Math"/>
                      <w:i/>
                      <w:sz w:val="22"/>
                      <w:szCs w:val="22"/>
                      <w:lang w:eastAsia="ja-JP"/>
                    </w:rPr>
                  </m:ctrlPr>
                </m:sSubSupPr>
                <m:e>
                  <m:r>
                    <w:rPr>
                      <w:rFonts w:ascii="Cambria Math" w:hAnsi="Cambria Math"/>
                      <w:sz w:val="22"/>
                      <w:szCs w:val="22"/>
                      <w:lang w:eastAsia="ja-JP"/>
                    </w:rPr>
                    <m:t>N</m:t>
                  </m:r>
                </m:e>
                <m:sub>
                  <m:r>
                    <w:rPr>
                      <w:rFonts w:ascii="Cambria Math" w:hAnsi="Cambria Math"/>
                      <w:sz w:val="22"/>
                      <w:szCs w:val="22"/>
                      <w:lang w:eastAsia="ja-JP"/>
                    </w:rPr>
                    <m:t>ZC</m:t>
                  </m:r>
                </m:sub>
                <m:sup>
                  <m:r>
                    <w:rPr>
                      <w:rFonts w:ascii="Cambria Math" w:hAnsi="Cambria Math"/>
                      <w:sz w:val="22"/>
                      <w:szCs w:val="22"/>
                      <w:lang w:eastAsia="ja-JP"/>
                    </w:rPr>
                    <m:t>RS</m:t>
                  </m:r>
                </m:sup>
              </m:sSubSup>
            </m:e>
          </m:d>
          <m:r>
            <w:rPr>
              <w:rFonts w:ascii="Cambria Math" w:hAnsi="Cambria Math"/>
              <w:sz w:val="22"/>
              <w:szCs w:val="22"/>
              <w:lang w:eastAsia="ja-JP"/>
            </w:rPr>
            <m:t>,   0≤n&lt;</m:t>
          </m:r>
          <m:sSubSup>
            <m:sSubSupPr>
              <m:ctrlPr>
                <w:rPr>
                  <w:rFonts w:ascii="Cambria Math" w:hAnsi="Cambria Math"/>
                  <w:i/>
                  <w:sz w:val="22"/>
                  <w:szCs w:val="22"/>
                  <w:lang w:eastAsia="ja-JP"/>
                </w:rPr>
              </m:ctrlPr>
            </m:sSubSupPr>
            <m:e>
              <m:r>
                <w:rPr>
                  <w:rFonts w:ascii="Cambria Math" w:hAnsi="Cambria Math"/>
                  <w:sz w:val="22"/>
                  <w:szCs w:val="22"/>
                  <w:lang w:eastAsia="ja-JP"/>
                </w:rPr>
                <m:t>M</m:t>
              </m:r>
            </m:e>
            <m:sub>
              <m:r>
                <w:rPr>
                  <w:rFonts w:ascii="Cambria Math" w:hAnsi="Cambria Math"/>
                  <w:sz w:val="22"/>
                  <w:szCs w:val="22"/>
                  <w:lang w:eastAsia="ja-JP"/>
                </w:rPr>
                <m:t>sc</m:t>
              </m:r>
            </m:sub>
            <m:sup>
              <m:r>
                <w:rPr>
                  <w:rFonts w:ascii="Cambria Math" w:hAnsi="Cambria Math"/>
                  <w:sz w:val="22"/>
                  <w:szCs w:val="22"/>
                  <w:lang w:eastAsia="ja-JP"/>
                </w:rPr>
                <m:t>RS</m:t>
              </m:r>
            </m:sup>
          </m:sSubSup>
        </m:oMath>
      </m:oMathPara>
    </w:p>
    <w:p w:rsidR="001D4961" w:rsidRDefault="001D4961" w:rsidP="00AB51D3">
      <w:pPr>
        <w:pStyle w:val="B1"/>
        <w:ind w:left="0" w:firstLine="0"/>
        <w:jc w:val="both"/>
        <w:rPr>
          <w:sz w:val="22"/>
          <w:szCs w:val="22"/>
          <w:lang w:eastAsia="ja-JP"/>
        </w:rPr>
      </w:pPr>
      <w:r>
        <w:rPr>
          <w:sz w:val="22"/>
          <w:szCs w:val="22"/>
          <w:lang w:eastAsia="ja-JP"/>
        </w:rPr>
        <w:t xml:space="preserve">With the sequence reordering, the RE colliding between RPF = 4 and 2 SRS of different cells happens to the same position </w:t>
      </w:r>
      <w:r w:rsidRPr="00612F74">
        <w:rPr>
          <w:i/>
          <w:sz w:val="22"/>
          <w:szCs w:val="22"/>
          <w:lang w:eastAsia="ja-JP"/>
        </w:rPr>
        <w:t>m=2k</w:t>
      </w:r>
      <w:r>
        <w:rPr>
          <w:sz w:val="22"/>
          <w:szCs w:val="22"/>
          <w:lang w:eastAsia="ja-JP"/>
        </w:rPr>
        <w:t xml:space="preserve"> as shown in Figure 2. Due to different</w:t>
      </w:r>
      <w:r w:rsidR="00F70E6E">
        <w:rPr>
          <w:sz w:val="22"/>
          <w:szCs w:val="22"/>
          <w:lang w:eastAsia="ja-JP"/>
        </w:rPr>
        <w:t xml:space="preserve"> values of</w:t>
      </w:r>
      <w:r>
        <w:rPr>
          <w:sz w:val="22"/>
          <w:szCs w:val="22"/>
          <w:lang w:eastAsia="ja-JP"/>
        </w:rPr>
        <w:t xml:space="preserve"> </w:t>
      </w:r>
      <w:r w:rsidR="00F70E6E">
        <w:rPr>
          <w:sz w:val="22"/>
          <w:szCs w:val="22"/>
          <w:lang w:eastAsia="ja-JP"/>
        </w:rPr>
        <w:t xml:space="preserve">the </w:t>
      </w:r>
      <w:r>
        <w:rPr>
          <w:sz w:val="22"/>
          <w:szCs w:val="22"/>
          <w:lang w:eastAsia="ja-JP"/>
        </w:rPr>
        <w:t xml:space="preserve">q index the cross correlation </w:t>
      </w:r>
      <w:r w:rsidR="00822F72">
        <w:rPr>
          <w:sz w:val="22"/>
          <w:szCs w:val="22"/>
          <w:lang w:eastAsia="ja-JP"/>
        </w:rPr>
        <w:t>of</w:t>
      </w:r>
      <w:r>
        <w:rPr>
          <w:sz w:val="22"/>
          <w:szCs w:val="22"/>
          <w:lang w:eastAsia="ja-JP"/>
        </w:rPr>
        <w:t xml:space="preserve"> </w:t>
      </w:r>
      <w:r w:rsidR="00F70E6E">
        <w:rPr>
          <w:sz w:val="22"/>
          <w:szCs w:val="22"/>
          <w:lang w:eastAsia="ja-JP"/>
        </w:rPr>
        <w:t>two sequences could</w:t>
      </w:r>
      <w:r>
        <w:rPr>
          <w:sz w:val="22"/>
          <w:szCs w:val="22"/>
          <w:lang w:eastAsia="ja-JP"/>
        </w:rPr>
        <w:t xml:space="preserve"> be small.</w:t>
      </w:r>
    </w:p>
    <w:p w:rsidR="00882C6A" w:rsidRDefault="007230E5" w:rsidP="007230E5">
      <w:pPr>
        <w:pStyle w:val="B1"/>
        <w:ind w:left="0" w:firstLine="0"/>
        <w:jc w:val="center"/>
        <w:rPr>
          <w:sz w:val="22"/>
          <w:szCs w:val="22"/>
          <w:lang w:eastAsia="ja-JP"/>
        </w:rPr>
      </w:pPr>
      <w:r>
        <w:rPr>
          <w:noProof/>
          <w:sz w:val="22"/>
          <w:szCs w:val="22"/>
          <w:lang w:val="en-US"/>
        </w:rPr>
        <w:drawing>
          <wp:inline distT="0" distB="0" distL="0" distR="0" wp14:anchorId="76E6F8C6">
            <wp:extent cx="5836145" cy="4329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screen">
                      <a:extLst>
                        <a:ext uri="{28A0092B-C50C-407E-A947-70E740481C1C}">
                          <a14:useLocalDpi xmlns:a14="http://schemas.microsoft.com/office/drawing/2010/main" val="0"/>
                        </a:ext>
                      </a:extLst>
                    </a:blip>
                    <a:srcRect/>
                    <a:stretch>
                      <a:fillRect/>
                    </a:stretch>
                  </pic:blipFill>
                  <pic:spPr bwMode="auto">
                    <a:xfrm>
                      <a:off x="0" y="0"/>
                      <a:ext cx="5858718" cy="4345945"/>
                    </a:xfrm>
                    <a:prstGeom prst="rect">
                      <a:avLst/>
                    </a:prstGeom>
                    <a:noFill/>
                  </pic:spPr>
                </pic:pic>
              </a:graphicData>
            </a:graphic>
          </wp:inline>
        </w:drawing>
      </w:r>
    </w:p>
    <w:p w:rsidR="00882C6A" w:rsidRPr="0025168E" w:rsidRDefault="00882C6A" w:rsidP="00882C6A">
      <w:pPr>
        <w:pStyle w:val="LGTdoc"/>
        <w:spacing w:afterLines="0" w:line="312" w:lineRule="auto"/>
        <w:jc w:val="center"/>
        <w:rPr>
          <w:b/>
          <w:szCs w:val="22"/>
          <w:lang w:eastAsia="ja-JP"/>
        </w:rPr>
      </w:pPr>
      <w:r w:rsidRPr="0025168E">
        <w:rPr>
          <w:b/>
          <w:szCs w:val="22"/>
          <w:lang w:eastAsia="ja-JP"/>
        </w:rPr>
        <w:t xml:space="preserve">Figure 2: Example of alternative 2 </w:t>
      </w:r>
      <w:r w:rsidR="003364AC" w:rsidRPr="0025168E">
        <w:rPr>
          <w:b/>
          <w:szCs w:val="22"/>
          <w:lang w:eastAsia="ja-JP"/>
        </w:rPr>
        <w:t>with sequence reordering</w:t>
      </w:r>
    </w:p>
    <w:p w:rsidR="00BC3EC6" w:rsidRDefault="001D4961" w:rsidP="00AB51D3">
      <w:pPr>
        <w:pStyle w:val="B1"/>
        <w:ind w:left="0" w:firstLine="0"/>
        <w:jc w:val="both"/>
        <w:rPr>
          <w:sz w:val="22"/>
          <w:szCs w:val="22"/>
          <w:lang w:eastAsia="ja-JP"/>
        </w:rPr>
      </w:pPr>
      <w:r>
        <w:rPr>
          <w:sz w:val="22"/>
          <w:szCs w:val="22"/>
          <w:lang w:eastAsia="ja-JP"/>
        </w:rPr>
        <w:t>It shall be noted that the</w:t>
      </w:r>
      <w:r w:rsidR="00F70E6E">
        <w:rPr>
          <w:sz w:val="22"/>
          <w:szCs w:val="22"/>
          <w:lang w:eastAsia="ja-JP"/>
        </w:rPr>
        <w:t xml:space="preserve"> sequence from the second alternative is a shifted version of the same root sequence based on the first alternative since</w:t>
      </w:r>
      <m:oMath>
        <m:r>
          <w:rPr>
            <w:rFonts w:ascii="Cambria Math" w:hAnsi="Cambria Math"/>
            <w:sz w:val="22"/>
            <w:szCs w:val="22"/>
            <w:lang w:eastAsia="ja-JP"/>
          </w:rPr>
          <m:t xml:space="preserve"> </m:t>
        </m:r>
        <m:sSub>
          <m:sSubPr>
            <m:ctrlPr>
              <w:rPr>
                <w:rFonts w:ascii="Cambria Math" w:hAnsi="Cambria Math"/>
                <w:i/>
                <w:sz w:val="22"/>
                <w:szCs w:val="22"/>
                <w:lang w:eastAsia="ja-JP"/>
              </w:rPr>
            </m:ctrlPr>
          </m:sSubPr>
          <m:e>
            <m:r>
              <w:rPr>
                <w:rFonts w:ascii="Cambria Math" w:hAnsi="Cambria Math"/>
                <w:sz w:val="22"/>
                <w:szCs w:val="22"/>
                <w:lang w:eastAsia="ja-JP"/>
              </w:rPr>
              <m:t>x</m:t>
            </m:r>
          </m:e>
          <m:sub>
            <m:r>
              <w:rPr>
                <w:rFonts w:ascii="Cambria Math" w:hAnsi="Cambria Math"/>
                <w:sz w:val="22"/>
                <w:szCs w:val="22"/>
                <w:lang w:eastAsia="ja-JP"/>
              </w:rPr>
              <m:t>q</m:t>
            </m:r>
          </m:sub>
        </m:sSub>
        <m:d>
          <m:dPr>
            <m:ctrlPr>
              <w:rPr>
                <w:rFonts w:ascii="Cambria Math" w:hAnsi="Cambria Math"/>
                <w:i/>
                <w:sz w:val="22"/>
                <w:szCs w:val="22"/>
                <w:lang w:eastAsia="ja-JP"/>
              </w:rPr>
            </m:ctrlPr>
          </m:dPr>
          <m:e>
            <m:r>
              <w:rPr>
                <w:rFonts w:ascii="Cambria Math" w:hAnsi="Cambria Math"/>
                <w:sz w:val="22"/>
                <w:szCs w:val="22"/>
                <w:lang w:eastAsia="ja-JP"/>
              </w:rPr>
              <m:t>2n</m:t>
            </m:r>
          </m:e>
        </m:d>
        <m:r>
          <w:rPr>
            <w:rFonts w:ascii="Cambria Math" w:hAnsi="Cambria Math"/>
            <w:sz w:val="22"/>
            <w:szCs w:val="22"/>
            <w:lang w:eastAsia="ja-JP"/>
          </w:rPr>
          <m:t>=</m:t>
        </m:r>
        <m:sSub>
          <m:sSubPr>
            <m:ctrlPr>
              <w:rPr>
                <w:rFonts w:ascii="Cambria Math" w:hAnsi="Cambria Math"/>
                <w:i/>
                <w:sz w:val="22"/>
                <w:szCs w:val="22"/>
                <w:lang w:eastAsia="ja-JP"/>
              </w:rPr>
            </m:ctrlPr>
          </m:sSubPr>
          <m:e>
            <m:r>
              <w:rPr>
                <w:rFonts w:ascii="Cambria Math" w:hAnsi="Cambria Math"/>
                <w:sz w:val="22"/>
                <w:szCs w:val="22"/>
                <w:lang w:eastAsia="ja-JP"/>
              </w:rPr>
              <m:t>x</m:t>
            </m:r>
          </m:e>
          <m:sub>
            <m:r>
              <w:rPr>
                <w:rFonts w:ascii="Cambria Math" w:hAnsi="Cambria Math"/>
                <w:sz w:val="22"/>
                <w:szCs w:val="22"/>
                <w:lang w:eastAsia="ja-JP"/>
              </w:rPr>
              <m:t>4q</m:t>
            </m:r>
          </m:sub>
        </m:sSub>
        <m:r>
          <w:rPr>
            <w:rFonts w:ascii="Cambria Math" w:hAnsi="Cambria Math"/>
            <w:sz w:val="22"/>
            <w:szCs w:val="22"/>
            <w:lang w:eastAsia="ja-JP"/>
          </w:rPr>
          <m:t>(n)∙</m:t>
        </m:r>
        <m:sSup>
          <m:sSupPr>
            <m:ctrlPr>
              <w:rPr>
                <w:rFonts w:ascii="Cambria Math" w:hAnsi="Cambria Math"/>
                <w:i/>
                <w:sz w:val="22"/>
                <w:szCs w:val="22"/>
                <w:lang w:eastAsia="ja-JP"/>
              </w:rPr>
            </m:ctrlPr>
          </m:sSupPr>
          <m:e>
            <m:r>
              <w:rPr>
                <w:rFonts w:ascii="Cambria Math" w:hAnsi="Cambria Math"/>
                <w:sz w:val="22"/>
                <w:szCs w:val="22"/>
                <w:lang w:eastAsia="ja-JP"/>
              </w:rPr>
              <m:t>e</m:t>
            </m:r>
          </m:e>
          <m:sup>
            <m:r>
              <w:rPr>
                <w:rFonts w:ascii="Cambria Math" w:hAnsi="Cambria Math"/>
                <w:sz w:val="22"/>
                <w:szCs w:val="22"/>
                <w:lang w:eastAsia="ja-JP"/>
              </w:rPr>
              <m:t>jαn</m:t>
            </m:r>
          </m:sup>
        </m:sSup>
      </m:oMath>
      <w:r w:rsidR="00F70E6E">
        <w:rPr>
          <w:sz w:val="22"/>
          <w:szCs w:val="22"/>
          <w:lang w:eastAsia="ja-JP"/>
        </w:rPr>
        <w:t xml:space="preserve">. Therefore, the two alternatives are equivalent in terms of the functionality. But the second alternative has </w:t>
      </w:r>
      <w:r w:rsidR="0021725F">
        <w:rPr>
          <w:sz w:val="22"/>
          <w:szCs w:val="22"/>
          <w:lang w:eastAsia="ja-JP"/>
        </w:rPr>
        <w:t>a</w:t>
      </w:r>
      <w:r w:rsidR="00F70E6E">
        <w:rPr>
          <w:sz w:val="22"/>
          <w:szCs w:val="22"/>
          <w:lang w:eastAsia="ja-JP"/>
        </w:rPr>
        <w:t xml:space="preserve"> merit for implementation. When both RPF = 2 and 4 are configured to the same UE with same sequence l</w:t>
      </w:r>
      <w:bookmarkStart w:id="4" w:name="_GoBack"/>
      <w:bookmarkEnd w:id="4"/>
      <w:r w:rsidR="00F70E6E">
        <w:rPr>
          <w:sz w:val="22"/>
          <w:szCs w:val="22"/>
          <w:lang w:eastAsia="ja-JP"/>
        </w:rPr>
        <w:t xml:space="preserve">ength, the alternative 2 does not need to generate two root ZC sequences. Exactly the same ZC sequence is used for both RPF = 2 and 4 SRS but </w:t>
      </w:r>
      <w:r w:rsidR="00882C6A">
        <w:rPr>
          <w:sz w:val="22"/>
          <w:szCs w:val="22"/>
          <w:lang w:eastAsia="ja-JP"/>
        </w:rPr>
        <w:t xml:space="preserve">with different mapping function. Therefore, </w:t>
      </w:r>
      <w:r w:rsidR="00A71049">
        <w:rPr>
          <w:sz w:val="22"/>
          <w:szCs w:val="22"/>
          <w:lang w:eastAsia="ja-JP"/>
        </w:rPr>
        <w:t xml:space="preserve">we prefer </w:t>
      </w:r>
      <w:r w:rsidR="00882C6A">
        <w:rPr>
          <w:sz w:val="22"/>
          <w:szCs w:val="22"/>
          <w:lang w:eastAsia="ja-JP"/>
        </w:rPr>
        <w:t xml:space="preserve">to </w:t>
      </w:r>
      <w:r w:rsidR="00A71049">
        <w:rPr>
          <w:sz w:val="22"/>
          <w:szCs w:val="22"/>
          <w:lang w:eastAsia="ja-JP"/>
        </w:rPr>
        <w:t xml:space="preserve">the </w:t>
      </w:r>
      <w:r w:rsidR="00882C6A">
        <w:rPr>
          <w:sz w:val="22"/>
          <w:szCs w:val="22"/>
          <w:lang w:eastAsia="ja-JP"/>
        </w:rPr>
        <w:t xml:space="preserve">alternative </w:t>
      </w:r>
      <w:r w:rsidR="00822F72">
        <w:rPr>
          <w:sz w:val="22"/>
          <w:szCs w:val="22"/>
          <w:lang w:eastAsia="ja-JP"/>
        </w:rPr>
        <w:t xml:space="preserve">2 </w:t>
      </w:r>
      <w:r w:rsidR="0021725F">
        <w:rPr>
          <w:sz w:val="22"/>
          <w:szCs w:val="22"/>
          <w:lang w:eastAsia="ja-JP"/>
        </w:rPr>
        <w:t>considering implementation benefit</w:t>
      </w:r>
      <w:r w:rsidR="00882C6A">
        <w:rPr>
          <w:sz w:val="22"/>
          <w:szCs w:val="22"/>
          <w:lang w:eastAsia="ja-JP"/>
        </w:rPr>
        <w:t>s</w:t>
      </w:r>
      <w:r w:rsidR="00E031DF">
        <w:rPr>
          <w:sz w:val="22"/>
          <w:szCs w:val="22"/>
          <w:lang w:eastAsia="ja-JP"/>
        </w:rPr>
        <w:t>.</w:t>
      </w:r>
    </w:p>
    <w:p w:rsidR="00882C6A" w:rsidRDefault="003D56D5" w:rsidP="003D56D5">
      <w:pPr>
        <w:rPr>
          <w:b/>
          <w:i/>
          <w:sz w:val="22"/>
          <w:szCs w:val="22"/>
        </w:rPr>
      </w:pPr>
      <w:r>
        <w:rPr>
          <w:b/>
          <w:i/>
          <w:sz w:val="22"/>
          <w:szCs w:val="22"/>
        </w:rPr>
        <w:t>Proposal</w:t>
      </w:r>
      <w:r w:rsidR="00882C6A">
        <w:rPr>
          <w:b/>
          <w:i/>
          <w:sz w:val="22"/>
          <w:szCs w:val="22"/>
        </w:rPr>
        <w:t xml:space="preserve"> 1</w:t>
      </w:r>
      <w:r w:rsidRPr="00880037">
        <w:rPr>
          <w:b/>
          <w:i/>
          <w:sz w:val="22"/>
          <w:szCs w:val="22"/>
        </w:rPr>
        <w:t>:</w:t>
      </w:r>
      <w:r>
        <w:rPr>
          <w:b/>
          <w:i/>
          <w:sz w:val="22"/>
          <w:szCs w:val="22"/>
        </w:rPr>
        <w:t xml:space="preserve"> </w:t>
      </w:r>
      <w:r w:rsidR="00882C6A">
        <w:rPr>
          <w:b/>
          <w:i/>
          <w:sz w:val="22"/>
          <w:szCs w:val="22"/>
        </w:rPr>
        <w:t>For RPF = 4 SRS, the mapping of the root ZC sequence to the base sequence is defined by</w:t>
      </w:r>
    </w:p>
    <w:p w:rsidR="003D56D5" w:rsidRPr="00AB51D3" w:rsidRDefault="008440D5" w:rsidP="00882C6A">
      <w:pPr>
        <w:jc w:val="center"/>
        <w:rPr>
          <w:b/>
          <w:i/>
          <w:sz w:val="22"/>
          <w:szCs w:val="22"/>
        </w:rPr>
      </w:pPr>
      <m:oMathPara>
        <m:oMath>
          <m:sSub>
            <m:sSubPr>
              <m:ctrlPr>
                <w:rPr>
                  <w:rFonts w:ascii="Cambria Math" w:hAnsi="Cambria Math"/>
                  <w:i/>
                  <w:iCs/>
                  <w:sz w:val="22"/>
                  <w:szCs w:val="22"/>
                  <w:lang w:eastAsia="ja-JP"/>
                </w:rPr>
              </m:ctrlPr>
            </m:sSubPr>
            <m:e>
              <m:acc>
                <m:accPr>
                  <m:chr m:val="̅"/>
                  <m:ctrlPr>
                    <w:rPr>
                      <w:rFonts w:ascii="Cambria Math" w:hAnsi="Cambria Math"/>
                      <w:i/>
                      <w:iCs/>
                      <w:sz w:val="22"/>
                      <w:szCs w:val="22"/>
                      <w:lang w:eastAsia="ja-JP"/>
                    </w:rPr>
                  </m:ctrlPr>
                </m:accPr>
                <m:e>
                  <m:r>
                    <w:rPr>
                      <w:rFonts w:ascii="Cambria Math" w:hAnsi="Cambria Math"/>
                      <w:sz w:val="22"/>
                      <w:szCs w:val="22"/>
                      <w:lang w:eastAsia="ja-JP"/>
                    </w:rPr>
                    <m:t>r</m:t>
                  </m:r>
                </m:e>
              </m:acc>
            </m:e>
            <m:sub>
              <m:r>
                <w:rPr>
                  <w:rFonts w:ascii="Cambria Math" w:hAnsi="Cambria Math"/>
                  <w:sz w:val="22"/>
                  <w:szCs w:val="22"/>
                  <w:lang w:eastAsia="ja-JP"/>
                </w:rPr>
                <m:t>u,v</m:t>
              </m:r>
            </m:sub>
          </m:sSub>
          <m:d>
            <m:dPr>
              <m:ctrlPr>
                <w:rPr>
                  <w:rFonts w:ascii="Cambria Math" w:hAnsi="Cambria Math"/>
                  <w:i/>
                  <w:iCs/>
                  <w:sz w:val="22"/>
                  <w:szCs w:val="22"/>
                  <w:lang w:eastAsia="ja-JP"/>
                </w:rPr>
              </m:ctrlPr>
            </m:dPr>
            <m:e>
              <m:r>
                <m:rPr>
                  <m:sty m:val="p"/>
                </m:rPr>
                <w:rPr>
                  <w:rFonts w:ascii="Cambria Math" w:hAnsi="Cambria Math"/>
                  <w:sz w:val="22"/>
                  <w:szCs w:val="22"/>
                  <w:lang w:eastAsia="ja-JP"/>
                </w:rPr>
                <m:t>n</m:t>
              </m:r>
            </m:e>
          </m:d>
          <m:r>
            <w:rPr>
              <w:rFonts w:ascii="Cambria Math" w:hAnsi="Cambria Math"/>
              <w:sz w:val="22"/>
              <w:szCs w:val="22"/>
              <w:lang w:eastAsia="ja-JP"/>
            </w:rPr>
            <m:t>=</m:t>
          </m:r>
          <m:sSub>
            <m:sSubPr>
              <m:ctrlPr>
                <w:rPr>
                  <w:rFonts w:ascii="Cambria Math" w:hAnsi="Cambria Math"/>
                  <w:i/>
                  <w:sz w:val="22"/>
                  <w:szCs w:val="22"/>
                  <w:lang w:eastAsia="ja-JP"/>
                </w:rPr>
              </m:ctrlPr>
            </m:sSubPr>
            <m:e>
              <m:r>
                <w:rPr>
                  <w:rFonts w:ascii="Cambria Math" w:hAnsi="Cambria Math"/>
                  <w:sz w:val="22"/>
                  <w:szCs w:val="22"/>
                  <w:lang w:eastAsia="ja-JP"/>
                </w:rPr>
                <m:t>x</m:t>
              </m:r>
            </m:e>
            <m:sub>
              <m:r>
                <w:rPr>
                  <w:rFonts w:ascii="Cambria Math" w:hAnsi="Cambria Math"/>
                  <w:sz w:val="22"/>
                  <w:szCs w:val="22"/>
                  <w:lang w:eastAsia="ja-JP"/>
                </w:rPr>
                <m:t>q</m:t>
              </m:r>
            </m:sub>
          </m:sSub>
          <m:d>
            <m:dPr>
              <m:ctrlPr>
                <w:rPr>
                  <w:rFonts w:ascii="Cambria Math" w:hAnsi="Cambria Math"/>
                  <w:i/>
                  <w:sz w:val="22"/>
                  <w:szCs w:val="22"/>
                  <w:lang w:eastAsia="ja-JP"/>
                </w:rPr>
              </m:ctrlPr>
            </m:dPr>
            <m:e>
              <m:r>
                <w:rPr>
                  <w:rFonts w:ascii="Cambria Math" w:hAnsi="Cambria Math"/>
                  <w:sz w:val="22"/>
                  <w:szCs w:val="22"/>
                  <w:lang w:eastAsia="ja-JP"/>
                </w:rPr>
                <m:t xml:space="preserve">2n Mod </m:t>
              </m:r>
              <m:sSubSup>
                <m:sSubSupPr>
                  <m:ctrlPr>
                    <w:rPr>
                      <w:rFonts w:ascii="Cambria Math" w:hAnsi="Cambria Math"/>
                      <w:i/>
                      <w:sz w:val="22"/>
                      <w:szCs w:val="22"/>
                      <w:lang w:eastAsia="ja-JP"/>
                    </w:rPr>
                  </m:ctrlPr>
                </m:sSubSupPr>
                <m:e>
                  <m:r>
                    <w:rPr>
                      <w:rFonts w:ascii="Cambria Math" w:hAnsi="Cambria Math"/>
                      <w:sz w:val="22"/>
                      <w:szCs w:val="22"/>
                      <w:lang w:eastAsia="ja-JP"/>
                    </w:rPr>
                    <m:t>N</m:t>
                  </m:r>
                </m:e>
                <m:sub>
                  <m:r>
                    <w:rPr>
                      <w:rFonts w:ascii="Cambria Math" w:hAnsi="Cambria Math"/>
                      <w:sz w:val="22"/>
                      <w:szCs w:val="22"/>
                      <w:lang w:eastAsia="ja-JP"/>
                    </w:rPr>
                    <m:t>ZC</m:t>
                  </m:r>
                </m:sub>
                <m:sup>
                  <m:r>
                    <w:rPr>
                      <w:rFonts w:ascii="Cambria Math" w:hAnsi="Cambria Math"/>
                      <w:sz w:val="22"/>
                      <w:szCs w:val="22"/>
                      <w:lang w:eastAsia="ja-JP"/>
                    </w:rPr>
                    <m:t>RS</m:t>
                  </m:r>
                </m:sup>
              </m:sSubSup>
            </m:e>
          </m:d>
          <m:r>
            <w:rPr>
              <w:rFonts w:ascii="Cambria Math" w:hAnsi="Cambria Math"/>
              <w:sz w:val="22"/>
              <w:szCs w:val="22"/>
              <w:lang w:eastAsia="ja-JP"/>
            </w:rPr>
            <m:t>,   0≤n&lt;</m:t>
          </m:r>
          <m:sSubSup>
            <m:sSubSupPr>
              <m:ctrlPr>
                <w:rPr>
                  <w:rFonts w:ascii="Cambria Math" w:hAnsi="Cambria Math"/>
                  <w:i/>
                  <w:sz w:val="22"/>
                  <w:szCs w:val="22"/>
                  <w:lang w:eastAsia="ja-JP"/>
                </w:rPr>
              </m:ctrlPr>
            </m:sSubSupPr>
            <m:e>
              <m:r>
                <w:rPr>
                  <w:rFonts w:ascii="Cambria Math" w:hAnsi="Cambria Math"/>
                  <w:sz w:val="22"/>
                  <w:szCs w:val="22"/>
                  <w:lang w:eastAsia="ja-JP"/>
                </w:rPr>
                <m:t>M</m:t>
              </m:r>
            </m:e>
            <m:sub>
              <m:r>
                <w:rPr>
                  <w:rFonts w:ascii="Cambria Math" w:hAnsi="Cambria Math"/>
                  <w:sz w:val="22"/>
                  <w:szCs w:val="22"/>
                  <w:lang w:eastAsia="ja-JP"/>
                </w:rPr>
                <m:t>sc</m:t>
              </m:r>
            </m:sub>
            <m:sup>
              <m:r>
                <w:rPr>
                  <w:rFonts w:ascii="Cambria Math" w:hAnsi="Cambria Math"/>
                  <w:sz w:val="22"/>
                  <w:szCs w:val="22"/>
                  <w:lang w:eastAsia="ja-JP"/>
                </w:rPr>
                <m:t>RS</m:t>
              </m:r>
            </m:sup>
          </m:sSubSup>
        </m:oMath>
      </m:oMathPara>
    </w:p>
    <w:p w:rsidR="000C0F2F" w:rsidRDefault="00822F72" w:rsidP="000C0F2F">
      <w:pPr>
        <w:pStyle w:val="Heading2"/>
        <w:numPr>
          <w:ilvl w:val="1"/>
          <w:numId w:val="1"/>
        </w:numPr>
        <w:tabs>
          <w:tab w:val="clear" w:pos="1140"/>
        </w:tabs>
        <w:spacing w:after="120"/>
        <w:ind w:left="720" w:hanging="720"/>
        <w:rPr>
          <w:rFonts w:ascii="Arial" w:hAnsi="Arial" w:cs="Arial"/>
          <w:b w:val="0"/>
          <w:i w:val="0"/>
        </w:rPr>
      </w:pPr>
      <w:r>
        <w:rPr>
          <w:rFonts w:ascii="Arial" w:hAnsi="Arial" w:cs="Arial"/>
          <w:b w:val="0"/>
          <w:i w:val="0"/>
        </w:rPr>
        <w:lastRenderedPageBreak/>
        <w:t>Configuration of RPF = 4</w:t>
      </w:r>
    </w:p>
    <w:p w:rsidR="004F1F0E" w:rsidRDefault="00763C95" w:rsidP="000C0F2F">
      <w:pPr>
        <w:rPr>
          <w:sz w:val="22"/>
          <w:szCs w:val="22"/>
        </w:rPr>
      </w:pPr>
      <w:r>
        <w:rPr>
          <w:sz w:val="22"/>
          <w:szCs w:val="22"/>
        </w:rPr>
        <w:t xml:space="preserve">During the last meeting, it was agreed to have a RRC parameter to enable RPF = 4 SRS transmission. </w:t>
      </w:r>
      <w:r w:rsidR="00682F41">
        <w:rPr>
          <w:sz w:val="22"/>
          <w:szCs w:val="22"/>
        </w:rPr>
        <w:t xml:space="preserve">But it is not clear </w:t>
      </w:r>
      <w:r>
        <w:rPr>
          <w:sz w:val="22"/>
          <w:szCs w:val="22"/>
        </w:rPr>
        <w:t xml:space="preserve">whether the configuration of RPF = 2 or 4 can be </w:t>
      </w:r>
      <w:r w:rsidR="00682F41">
        <w:rPr>
          <w:sz w:val="22"/>
          <w:szCs w:val="22"/>
        </w:rPr>
        <w:t xml:space="preserve">different </w:t>
      </w:r>
      <w:r w:rsidR="00E66EE0">
        <w:rPr>
          <w:sz w:val="22"/>
          <w:szCs w:val="22"/>
        </w:rPr>
        <w:t>on</w:t>
      </w:r>
      <w:r w:rsidR="00682F41">
        <w:rPr>
          <w:sz w:val="22"/>
          <w:szCs w:val="22"/>
        </w:rPr>
        <w:t xml:space="preserve"> </w:t>
      </w:r>
      <w:r>
        <w:rPr>
          <w:sz w:val="22"/>
          <w:szCs w:val="22"/>
        </w:rPr>
        <w:t xml:space="preserve">per SRS configuration. </w:t>
      </w:r>
      <w:r w:rsidR="00E66EE0">
        <w:rPr>
          <w:sz w:val="22"/>
          <w:szCs w:val="22"/>
        </w:rPr>
        <w:t xml:space="preserve">In other words, is it possible to configure different number of comb values to type 0 and type 1 SRS and/or different parameter sets of type 1 SRS? Generally it shall be possible since it provides sufficient </w:t>
      </w:r>
      <w:proofErr w:type="spellStart"/>
      <w:r w:rsidR="00E66EE0">
        <w:rPr>
          <w:sz w:val="22"/>
          <w:szCs w:val="22"/>
        </w:rPr>
        <w:t>eNB</w:t>
      </w:r>
      <w:proofErr w:type="spellEnd"/>
      <w:r w:rsidR="00E66EE0">
        <w:rPr>
          <w:sz w:val="22"/>
          <w:szCs w:val="22"/>
        </w:rPr>
        <w:t xml:space="preserve"> implementation flexibility due to the coexistence with the legacy UE not supporting RPF = 4. If it is supported meaning that UE can be assigned with both RPF = 2 and 4 for different parameter sets of type 1 SRS, there is a question whether the transmission power for RPF = 2 and 4 SRS could be different. Because for RPF = 4 SRS there is a potential to boost 3dB </w:t>
      </w:r>
      <w:r w:rsidR="004F1F0E">
        <w:rPr>
          <w:sz w:val="22"/>
          <w:szCs w:val="22"/>
        </w:rPr>
        <w:t xml:space="preserve">TX </w:t>
      </w:r>
      <w:r w:rsidR="00E66EE0">
        <w:rPr>
          <w:sz w:val="22"/>
          <w:szCs w:val="22"/>
        </w:rPr>
        <w:t xml:space="preserve">power to compensate the channel estimation loss. However, it is </w:t>
      </w:r>
      <w:r w:rsidR="004F1F0E">
        <w:rPr>
          <w:sz w:val="22"/>
          <w:szCs w:val="22"/>
        </w:rPr>
        <w:t xml:space="preserve">noted that not all UEs need to be boosted otherwise the benefits from extended comb on reducing inter-cell interference are minimized. It is desirable to boost TX power only for cell edge UE. Alternatively, whether to boost SRS TX power can be controlled by </w:t>
      </w:r>
      <w:proofErr w:type="spellStart"/>
      <w:r w:rsidR="004F1F0E">
        <w:rPr>
          <w:sz w:val="22"/>
          <w:szCs w:val="22"/>
        </w:rPr>
        <w:t>eNB</w:t>
      </w:r>
      <w:proofErr w:type="spellEnd"/>
      <w:r w:rsidR="004F1F0E">
        <w:rPr>
          <w:sz w:val="22"/>
          <w:szCs w:val="22"/>
        </w:rPr>
        <w:t xml:space="preserve">. Therefore, RAN1 shall decide whether to enhance RPF = 4 SRS power control. </w:t>
      </w:r>
    </w:p>
    <w:p w:rsidR="004F1F0E" w:rsidRDefault="004F1F0E" w:rsidP="004F1F0E">
      <w:pPr>
        <w:rPr>
          <w:b/>
          <w:i/>
          <w:sz w:val="22"/>
          <w:szCs w:val="22"/>
        </w:rPr>
      </w:pPr>
      <w:r>
        <w:rPr>
          <w:b/>
          <w:i/>
          <w:sz w:val="22"/>
          <w:szCs w:val="22"/>
        </w:rPr>
        <w:t>Proposal 2</w:t>
      </w:r>
      <w:r w:rsidRPr="00880037">
        <w:rPr>
          <w:b/>
          <w:i/>
          <w:sz w:val="22"/>
          <w:szCs w:val="22"/>
        </w:rPr>
        <w:t>:</w:t>
      </w:r>
      <w:r>
        <w:rPr>
          <w:b/>
          <w:i/>
          <w:sz w:val="22"/>
          <w:szCs w:val="22"/>
        </w:rPr>
        <w:t xml:space="preserve"> RAN1 shall clarify whether the configuration of RPF = 2 and 4 can be </w:t>
      </w:r>
      <w:r w:rsidR="00571CB6">
        <w:rPr>
          <w:b/>
          <w:i/>
          <w:sz w:val="22"/>
          <w:szCs w:val="22"/>
        </w:rPr>
        <w:t>different</w:t>
      </w:r>
      <w:r>
        <w:rPr>
          <w:b/>
          <w:i/>
          <w:sz w:val="22"/>
          <w:szCs w:val="22"/>
        </w:rPr>
        <w:t xml:space="preserve"> for each SRS configuration and the necessity for specification enhancements on SRS power control.</w:t>
      </w:r>
    </w:p>
    <w:p w:rsidR="00571CB6" w:rsidRDefault="004F1F0E" w:rsidP="000C0F2F">
      <w:pPr>
        <w:rPr>
          <w:sz w:val="22"/>
          <w:szCs w:val="22"/>
        </w:rPr>
      </w:pPr>
      <w:r>
        <w:rPr>
          <w:sz w:val="22"/>
          <w:szCs w:val="22"/>
        </w:rPr>
        <w:t xml:space="preserve">Another issue is how to determine the transmission comb value for multi antenna ports </w:t>
      </w:r>
      <w:r w:rsidR="00571CB6">
        <w:rPr>
          <w:sz w:val="22"/>
          <w:szCs w:val="22"/>
        </w:rPr>
        <w:t xml:space="preserve">SRS with </w:t>
      </w:r>
      <w:r>
        <w:rPr>
          <w:sz w:val="22"/>
          <w:szCs w:val="22"/>
        </w:rPr>
        <w:t xml:space="preserve">RPF = 4. Currently, for 4-ports SRS with RPF = 2, antenna ports </w:t>
      </w:r>
      <w:r w:rsidR="00571CB6">
        <w:rPr>
          <w:sz w:val="22"/>
          <w:szCs w:val="22"/>
        </w:rPr>
        <w:t xml:space="preserve">1 or 3 </w:t>
      </w:r>
      <w:r>
        <w:rPr>
          <w:sz w:val="22"/>
          <w:szCs w:val="22"/>
        </w:rPr>
        <w:t xml:space="preserve">can be assigned with </w:t>
      </w:r>
      <w:r w:rsidR="00571CB6">
        <w:rPr>
          <w:sz w:val="22"/>
          <w:szCs w:val="22"/>
        </w:rPr>
        <w:t xml:space="preserve">a </w:t>
      </w:r>
      <w:r>
        <w:rPr>
          <w:sz w:val="22"/>
          <w:szCs w:val="22"/>
        </w:rPr>
        <w:t xml:space="preserve">different transmission comb value </w:t>
      </w:r>
      <w:r w:rsidR="00571CB6">
        <w:rPr>
          <w:sz w:val="22"/>
          <w:szCs w:val="22"/>
        </w:rPr>
        <w:t xml:space="preserve">compared to other antenna ports as determined by the used cyclic shift. Following the same rule, the question is which comb value can be assigned since now there are four values for RPF = 4. To minimize the impact on legacy RPF = 2 SRS </w:t>
      </w:r>
      <w:r w:rsidR="00A32A44">
        <w:rPr>
          <w:sz w:val="22"/>
          <w:szCs w:val="22"/>
        </w:rPr>
        <w:t xml:space="preserve">it is preferable that the transmission comb values for multi-antenna SRS are assigned with either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TC</m:t>
            </m:r>
          </m:sub>
        </m:sSub>
      </m:oMath>
      <w:r w:rsidR="00A32A44">
        <w:rPr>
          <w:sz w:val="22"/>
          <w:szCs w:val="22"/>
        </w:rPr>
        <w:t xml:space="preserve"> or </w:t>
      </w:r>
      <m:oMath>
        <m:r>
          <w:rPr>
            <w:rFonts w:ascii="Cambria Math" w:hAnsi="Cambria Math"/>
            <w:sz w:val="22"/>
            <w:szCs w:val="22"/>
          </w:rPr>
          <m:t>mod(</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TC</m:t>
            </m:r>
          </m:sub>
        </m:sSub>
        <m:r>
          <w:rPr>
            <w:rFonts w:ascii="Cambria Math" w:hAnsi="Cambria Math"/>
            <w:sz w:val="22"/>
            <w:szCs w:val="22"/>
          </w:rPr>
          <m:t>+2, 4)</m:t>
        </m:r>
      </m:oMath>
      <w:r w:rsidR="00A32A44">
        <w:rPr>
          <w:sz w:val="22"/>
          <w:szCs w:val="22"/>
        </w:rPr>
        <w:t xml:space="preserve"> where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TC</m:t>
            </m:r>
          </m:sub>
        </m:sSub>
      </m:oMath>
      <w:r w:rsidR="00A32A44">
        <w:rPr>
          <w:sz w:val="22"/>
          <w:szCs w:val="22"/>
        </w:rPr>
        <w:t xml:space="preserve"> is a </w:t>
      </w:r>
      <w:r w:rsidR="003364AC">
        <w:rPr>
          <w:sz w:val="22"/>
          <w:szCs w:val="22"/>
        </w:rPr>
        <w:t xml:space="preserve">high layer </w:t>
      </w:r>
      <w:r w:rsidR="00A32A44">
        <w:rPr>
          <w:sz w:val="22"/>
          <w:szCs w:val="22"/>
        </w:rPr>
        <w:t>configured transmission comb.</w:t>
      </w:r>
    </w:p>
    <w:p w:rsidR="00571CB6" w:rsidRDefault="00571CB6" w:rsidP="00571CB6">
      <w:pPr>
        <w:rPr>
          <w:b/>
          <w:i/>
          <w:sz w:val="22"/>
          <w:szCs w:val="22"/>
        </w:rPr>
      </w:pPr>
      <w:r>
        <w:rPr>
          <w:b/>
          <w:i/>
          <w:sz w:val="22"/>
          <w:szCs w:val="22"/>
        </w:rPr>
        <w:t>Proposal 2</w:t>
      </w:r>
      <w:r w:rsidRPr="00880037">
        <w:rPr>
          <w:b/>
          <w:i/>
          <w:sz w:val="22"/>
          <w:szCs w:val="22"/>
        </w:rPr>
        <w:t>:</w:t>
      </w:r>
      <w:r>
        <w:rPr>
          <w:b/>
          <w:i/>
          <w:sz w:val="22"/>
          <w:szCs w:val="22"/>
        </w:rPr>
        <w:t xml:space="preserve"> </w:t>
      </w:r>
      <w:r w:rsidR="0025168E">
        <w:rPr>
          <w:b/>
          <w:i/>
          <w:sz w:val="22"/>
          <w:szCs w:val="22"/>
        </w:rPr>
        <w:t>For 4-port</w:t>
      </w:r>
      <w:r w:rsidR="00A32A44">
        <w:rPr>
          <w:b/>
          <w:i/>
          <w:sz w:val="22"/>
          <w:szCs w:val="22"/>
        </w:rPr>
        <w:t xml:space="preserve"> SRS with RPF = 4, the transmission comb values per antenna port is</w:t>
      </w:r>
      <w:r w:rsidR="00A32A44" w:rsidRPr="00A32A44">
        <w:rPr>
          <w:b/>
          <w:i/>
          <w:sz w:val="22"/>
          <w:szCs w:val="22"/>
        </w:rPr>
        <w:t xml:space="preserve"> either </w:t>
      </w:r>
      <m:oMath>
        <m:sSub>
          <m:sSubPr>
            <m:ctrlPr>
              <w:rPr>
                <w:rFonts w:ascii="Cambria Math" w:hAnsi="Cambria Math"/>
                <w:b/>
                <w:i/>
                <w:sz w:val="22"/>
                <w:szCs w:val="22"/>
              </w:rPr>
            </m:ctrlPr>
          </m:sSubPr>
          <m:e>
            <m:r>
              <m:rPr>
                <m:sty m:val="bi"/>
              </m:rPr>
              <w:rPr>
                <w:rFonts w:ascii="Cambria Math" w:hAnsi="Cambria Math"/>
                <w:sz w:val="22"/>
                <w:szCs w:val="22"/>
              </w:rPr>
              <m:t>K</m:t>
            </m:r>
          </m:e>
          <m:sub>
            <m:r>
              <m:rPr>
                <m:sty m:val="bi"/>
              </m:rPr>
              <w:rPr>
                <w:rFonts w:ascii="Cambria Math" w:hAnsi="Cambria Math"/>
                <w:sz w:val="22"/>
                <w:szCs w:val="22"/>
              </w:rPr>
              <m:t>TC</m:t>
            </m:r>
          </m:sub>
        </m:sSub>
      </m:oMath>
      <w:r w:rsidR="00A32A44" w:rsidRPr="00A32A44">
        <w:rPr>
          <w:b/>
          <w:i/>
          <w:sz w:val="22"/>
          <w:szCs w:val="22"/>
        </w:rPr>
        <w:t xml:space="preserve"> or </w:t>
      </w:r>
      <m:oMath>
        <m:r>
          <m:rPr>
            <m:sty m:val="bi"/>
          </m:rPr>
          <w:rPr>
            <w:rFonts w:ascii="Cambria Math" w:hAnsi="Cambria Math"/>
            <w:sz w:val="22"/>
            <w:szCs w:val="22"/>
          </w:rPr>
          <m:t>mod(</m:t>
        </m:r>
        <m:sSub>
          <m:sSubPr>
            <m:ctrlPr>
              <w:rPr>
                <w:rFonts w:ascii="Cambria Math" w:hAnsi="Cambria Math"/>
                <w:b/>
                <w:i/>
                <w:sz w:val="22"/>
                <w:szCs w:val="22"/>
              </w:rPr>
            </m:ctrlPr>
          </m:sSubPr>
          <m:e>
            <m:r>
              <m:rPr>
                <m:sty m:val="bi"/>
              </m:rPr>
              <w:rPr>
                <w:rFonts w:ascii="Cambria Math" w:hAnsi="Cambria Math"/>
                <w:sz w:val="22"/>
                <w:szCs w:val="22"/>
              </w:rPr>
              <m:t>K</m:t>
            </m:r>
          </m:e>
          <m:sub>
            <m:r>
              <m:rPr>
                <m:sty m:val="bi"/>
              </m:rPr>
              <w:rPr>
                <w:rFonts w:ascii="Cambria Math" w:hAnsi="Cambria Math"/>
                <w:sz w:val="22"/>
                <w:szCs w:val="22"/>
              </w:rPr>
              <m:t>TC</m:t>
            </m:r>
          </m:sub>
        </m:sSub>
        <m:r>
          <m:rPr>
            <m:sty m:val="bi"/>
          </m:rPr>
          <w:rPr>
            <w:rFonts w:ascii="Cambria Math" w:hAnsi="Cambria Math"/>
            <w:sz w:val="22"/>
            <w:szCs w:val="22"/>
          </w:rPr>
          <m:t>+2, 4)</m:t>
        </m:r>
      </m:oMath>
      <w:r w:rsidR="00A32A44" w:rsidRPr="00A32A44">
        <w:rPr>
          <w:b/>
          <w:i/>
          <w:sz w:val="22"/>
          <w:szCs w:val="22"/>
        </w:rPr>
        <w:t xml:space="preserve"> where </w:t>
      </w:r>
      <m:oMath>
        <m:sSub>
          <m:sSubPr>
            <m:ctrlPr>
              <w:rPr>
                <w:rFonts w:ascii="Cambria Math" w:hAnsi="Cambria Math"/>
                <w:b/>
                <w:i/>
                <w:sz w:val="22"/>
                <w:szCs w:val="22"/>
              </w:rPr>
            </m:ctrlPr>
          </m:sSubPr>
          <m:e>
            <m:r>
              <m:rPr>
                <m:sty m:val="bi"/>
              </m:rPr>
              <w:rPr>
                <w:rFonts w:ascii="Cambria Math" w:hAnsi="Cambria Math"/>
                <w:sz w:val="22"/>
                <w:szCs w:val="22"/>
              </w:rPr>
              <m:t>K</m:t>
            </m:r>
          </m:e>
          <m:sub>
            <m:r>
              <m:rPr>
                <m:sty m:val="bi"/>
              </m:rPr>
              <w:rPr>
                <w:rFonts w:ascii="Cambria Math" w:hAnsi="Cambria Math"/>
                <w:sz w:val="22"/>
                <w:szCs w:val="22"/>
              </w:rPr>
              <m:t>TC</m:t>
            </m:r>
          </m:sub>
        </m:sSub>
      </m:oMath>
      <w:r w:rsidR="00A32A44">
        <w:rPr>
          <w:b/>
          <w:i/>
          <w:sz w:val="22"/>
          <w:szCs w:val="22"/>
        </w:rPr>
        <w:t xml:space="preserve"> is a high layer</w:t>
      </w:r>
      <w:r w:rsidR="00A32A44" w:rsidRPr="00A32A44">
        <w:rPr>
          <w:b/>
          <w:i/>
          <w:sz w:val="22"/>
          <w:szCs w:val="22"/>
        </w:rPr>
        <w:t xml:space="preserve"> configured </w:t>
      </w:r>
      <w:r w:rsidR="00A32A44">
        <w:rPr>
          <w:b/>
          <w:i/>
          <w:sz w:val="22"/>
          <w:szCs w:val="22"/>
        </w:rPr>
        <w:t>transmission comb</w:t>
      </w:r>
      <w:r>
        <w:rPr>
          <w:b/>
          <w:i/>
          <w:sz w:val="22"/>
          <w:szCs w:val="22"/>
        </w:rPr>
        <w:t>.</w:t>
      </w:r>
    </w:p>
    <w:p w:rsidR="000C0F2F" w:rsidRDefault="000C0F2F" w:rsidP="000C0F2F">
      <w:pPr>
        <w:pStyle w:val="Heading1"/>
        <w:ind w:left="720" w:hanging="720"/>
        <w:jc w:val="both"/>
      </w:pPr>
      <w:r>
        <w:t>3</w:t>
      </w:r>
      <w:r>
        <w:tab/>
        <w:t>Conclusion</w:t>
      </w:r>
    </w:p>
    <w:p w:rsidR="000C0F2F" w:rsidRDefault="000C0F2F" w:rsidP="000C0F2F">
      <w:pPr>
        <w:pStyle w:val="LGTdoc"/>
        <w:spacing w:after="120" w:line="240" w:lineRule="auto"/>
        <w:rPr>
          <w:szCs w:val="22"/>
        </w:rPr>
      </w:pPr>
      <w:r w:rsidRPr="00AC330E">
        <w:rPr>
          <w:szCs w:val="22"/>
        </w:rPr>
        <w:t xml:space="preserve">In this contribution, we discuss the </w:t>
      </w:r>
      <w:r>
        <w:rPr>
          <w:szCs w:val="22"/>
        </w:rPr>
        <w:t xml:space="preserve">specification impact for </w:t>
      </w:r>
      <w:r w:rsidR="00571CB6">
        <w:rPr>
          <w:szCs w:val="22"/>
        </w:rPr>
        <w:t xml:space="preserve">RPF = 4 </w:t>
      </w:r>
      <w:r>
        <w:rPr>
          <w:szCs w:val="22"/>
        </w:rPr>
        <w:t xml:space="preserve">SRS. </w:t>
      </w:r>
      <w:r w:rsidRPr="00AC330E">
        <w:rPr>
          <w:szCs w:val="22"/>
        </w:rPr>
        <w:t xml:space="preserve">We have the following </w:t>
      </w:r>
      <w:r w:rsidR="003364AC">
        <w:rPr>
          <w:szCs w:val="22"/>
        </w:rPr>
        <w:t>observations</w:t>
      </w:r>
      <w:r w:rsidRPr="00AC330E">
        <w:rPr>
          <w:szCs w:val="22"/>
        </w:rPr>
        <w:t>:</w:t>
      </w:r>
    </w:p>
    <w:p w:rsidR="003364AC" w:rsidRPr="00C43713" w:rsidRDefault="003364AC" w:rsidP="003364AC">
      <w:pPr>
        <w:spacing w:before="120"/>
        <w:rPr>
          <w:b/>
          <w:i/>
          <w:sz w:val="22"/>
          <w:szCs w:val="22"/>
        </w:rPr>
      </w:pPr>
      <w:r w:rsidRPr="00C43713">
        <w:rPr>
          <w:b/>
          <w:i/>
          <w:sz w:val="22"/>
          <w:szCs w:val="22"/>
        </w:rPr>
        <w:t>Observation</w:t>
      </w:r>
      <w:r>
        <w:rPr>
          <w:b/>
          <w:i/>
          <w:sz w:val="22"/>
          <w:szCs w:val="22"/>
        </w:rPr>
        <w:t xml:space="preserve"> 1</w:t>
      </w:r>
      <w:r w:rsidRPr="00C43713">
        <w:rPr>
          <w:b/>
          <w:i/>
          <w:sz w:val="22"/>
          <w:szCs w:val="22"/>
        </w:rPr>
        <w:t>:</w:t>
      </w:r>
      <w:r>
        <w:rPr>
          <w:b/>
          <w:i/>
          <w:sz w:val="22"/>
          <w:szCs w:val="22"/>
        </w:rPr>
        <w:t xml:space="preserve"> High SRS sequence collision probability is observed for the shorter sequence length. </w:t>
      </w:r>
    </w:p>
    <w:p w:rsidR="003364AC" w:rsidRDefault="003364AC" w:rsidP="003364AC">
      <w:pPr>
        <w:spacing w:before="120"/>
        <w:rPr>
          <w:szCs w:val="22"/>
        </w:rPr>
      </w:pPr>
      <w:r w:rsidRPr="00C43713">
        <w:rPr>
          <w:b/>
          <w:i/>
          <w:sz w:val="22"/>
          <w:szCs w:val="22"/>
        </w:rPr>
        <w:t>Observation</w:t>
      </w:r>
      <w:r>
        <w:rPr>
          <w:b/>
          <w:i/>
          <w:sz w:val="22"/>
          <w:szCs w:val="22"/>
        </w:rPr>
        <w:t xml:space="preserve"> 2</w:t>
      </w:r>
      <w:r w:rsidRPr="00C43713">
        <w:rPr>
          <w:b/>
          <w:i/>
          <w:sz w:val="22"/>
          <w:szCs w:val="22"/>
        </w:rPr>
        <w:t>:</w:t>
      </w:r>
      <w:r>
        <w:rPr>
          <w:b/>
          <w:i/>
          <w:sz w:val="22"/>
          <w:szCs w:val="22"/>
        </w:rPr>
        <w:t xml:space="preserve"> Assigning a larger bandwidth, e.g., 32 RBs, for RPF = 4 SRS transmission could reduce the collision probability to lower than 10%. </w:t>
      </w:r>
    </w:p>
    <w:p w:rsidR="003364AC" w:rsidRDefault="003364AC" w:rsidP="003364AC">
      <w:pPr>
        <w:rPr>
          <w:b/>
          <w:i/>
          <w:sz w:val="22"/>
          <w:szCs w:val="22"/>
        </w:rPr>
      </w:pPr>
      <w:r>
        <w:rPr>
          <w:b/>
          <w:i/>
          <w:sz w:val="22"/>
          <w:szCs w:val="22"/>
        </w:rPr>
        <w:t>Observation</w:t>
      </w:r>
      <w:r w:rsidRPr="00C831F1">
        <w:rPr>
          <w:b/>
          <w:i/>
          <w:sz w:val="22"/>
          <w:szCs w:val="22"/>
        </w:rPr>
        <w:t xml:space="preserve"> </w:t>
      </w:r>
      <w:r>
        <w:rPr>
          <w:b/>
          <w:i/>
          <w:sz w:val="22"/>
          <w:szCs w:val="22"/>
        </w:rPr>
        <w:t>3</w:t>
      </w:r>
      <w:r w:rsidRPr="00C831F1">
        <w:rPr>
          <w:b/>
          <w:i/>
          <w:sz w:val="22"/>
          <w:szCs w:val="22"/>
        </w:rPr>
        <w:t xml:space="preserve">: </w:t>
      </w:r>
      <w:r>
        <w:rPr>
          <w:b/>
          <w:i/>
          <w:sz w:val="22"/>
          <w:szCs w:val="22"/>
        </w:rPr>
        <w:t>Virtual cell ID based approach cannot remove SRS sequence collision between different cells.</w:t>
      </w:r>
    </w:p>
    <w:p w:rsidR="004955AA" w:rsidRPr="004955AA" w:rsidRDefault="004955AA" w:rsidP="004955AA">
      <w:pPr>
        <w:pStyle w:val="LGTdoc"/>
        <w:spacing w:after="120" w:line="240" w:lineRule="auto"/>
        <w:rPr>
          <w:szCs w:val="22"/>
        </w:rPr>
      </w:pPr>
      <w:r w:rsidRPr="004955AA">
        <w:rPr>
          <w:szCs w:val="22"/>
        </w:rPr>
        <w:t>We propose</w:t>
      </w:r>
      <w:r>
        <w:rPr>
          <w:szCs w:val="22"/>
        </w:rPr>
        <w:t>:</w:t>
      </w:r>
    </w:p>
    <w:p w:rsidR="00F81372" w:rsidRDefault="00F81372" w:rsidP="00F81372">
      <w:pPr>
        <w:rPr>
          <w:b/>
          <w:i/>
          <w:sz w:val="22"/>
          <w:szCs w:val="22"/>
        </w:rPr>
      </w:pPr>
      <w:r>
        <w:rPr>
          <w:b/>
          <w:i/>
          <w:sz w:val="22"/>
          <w:szCs w:val="22"/>
        </w:rPr>
        <w:t>Proposal 1</w:t>
      </w:r>
      <w:r w:rsidRPr="00880037">
        <w:rPr>
          <w:b/>
          <w:i/>
          <w:sz w:val="22"/>
          <w:szCs w:val="22"/>
        </w:rPr>
        <w:t>:</w:t>
      </w:r>
      <w:r>
        <w:rPr>
          <w:b/>
          <w:i/>
          <w:sz w:val="22"/>
          <w:szCs w:val="22"/>
        </w:rPr>
        <w:t xml:space="preserve"> For RPF = 4 SRS, the mapping of the root ZC sequence to the base sequence is defined by</w:t>
      </w:r>
    </w:p>
    <w:p w:rsidR="00F81372" w:rsidRPr="00AB51D3" w:rsidRDefault="008440D5" w:rsidP="00F81372">
      <w:pPr>
        <w:jc w:val="center"/>
        <w:rPr>
          <w:b/>
          <w:i/>
          <w:sz w:val="22"/>
          <w:szCs w:val="22"/>
        </w:rPr>
      </w:pPr>
      <m:oMathPara>
        <m:oMath>
          <m:sSub>
            <m:sSubPr>
              <m:ctrlPr>
                <w:rPr>
                  <w:rFonts w:ascii="Cambria Math" w:hAnsi="Cambria Math"/>
                  <w:i/>
                  <w:iCs/>
                  <w:sz w:val="22"/>
                  <w:szCs w:val="22"/>
                  <w:lang w:eastAsia="ja-JP"/>
                </w:rPr>
              </m:ctrlPr>
            </m:sSubPr>
            <m:e>
              <m:acc>
                <m:accPr>
                  <m:chr m:val="̅"/>
                  <m:ctrlPr>
                    <w:rPr>
                      <w:rFonts w:ascii="Cambria Math" w:hAnsi="Cambria Math"/>
                      <w:i/>
                      <w:iCs/>
                      <w:sz w:val="22"/>
                      <w:szCs w:val="22"/>
                      <w:lang w:eastAsia="ja-JP"/>
                    </w:rPr>
                  </m:ctrlPr>
                </m:accPr>
                <m:e>
                  <m:r>
                    <w:rPr>
                      <w:rFonts w:ascii="Cambria Math" w:hAnsi="Cambria Math"/>
                      <w:sz w:val="22"/>
                      <w:szCs w:val="22"/>
                      <w:lang w:eastAsia="ja-JP"/>
                    </w:rPr>
                    <m:t>r</m:t>
                  </m:r>
                </m:e>
              </m:acc>
            </m:e>
            <m:sub>
              <m:r>
                <w:rPr>
                  <w:rFonts w:ascii="Cambria Math" w:hAnsi="Cambria Math"/>
                  <w:sz w:val="22"/>
                  <w:szCs w:val="22"/>
                  <w:lang w:eastAsia="ja-JP"/>
                </w:rPr>
                <m:t>u,v</m:t>
              </m:r>
            </m:sub>
          </m:sSub>
          <m:d>
            <m:dPr>
              <m:ctrlPr>
                <w:rPr>
                  <w:rFonts w:ascii="Cambria Math" w:hAnsi="Cambria Math"/>
                  <w:i/>
                  <w:iCs/>
                  <w:sz w:val="22"/>
                  <w:szCs w:val="22"/>
                  <w:lang w:eastAsia="ja-JP"/>
                </w:rPr>
              </m:ctrlPr>
            </m:dPr>
            <m:e>
              <m:r>
                <m:rPr>
                  <m:sty m:val="p"/>
                </m:rPr>
                <w:rPr>
                  <w:rFonts w:ascii="Cambria Math" w:hAnsi="Cambria Math"/>
                  <w:sz w:val="22"/>
                  <w:szCs w:val="22"/>
                  <w:lang w:eastAsia="ja-JP"/>
                </w:rPr>
                <m:t>n</m:t>
              </m:r>
            </m:e>
          </m:d>
          <m:r>
            <w:rPr>
              <w:rFonts w:ascii="Cambria Math" w:hAnsi="Cambria Math"/>
              <w:sz w:val="22"/>
              <w:szCs w:val="22"/>
              <w:lang w:eastAsia="ja-JP"/>
            </w:rPr>
            <m:t>=</m:t>
          </m:r>
          <m:sSub>
            <m:sSubPr>
              <m:ctrlPr>
                <w:rPr>
                  <w:rFonts w:ascii="Cambria Math" w:hAnsi="Cambria Math"/>
                  <w:i/>
                  <w:sz w:val="22"/>
                  <w:szCs w:val="22"/>
                  <w:lang w:eastAsia="ja-JP"/>
                </w:rPr>
              </m:ctrlPr>
            </m:sSubPr>
            <m:e>
              <m:r>
                <w:rPr>
                  <w:rFonts w:ascii="Cambria Math" w:hAnsi="Cambria Math"/>
                  <w:sz w:val="22"/>
                  <w:szCs w:val="22"/>
                  <w:lang w:eastAsia="ja-JP"/>
                </w:rPr>
                <m:t>x</m:t>
              </m:r>
            </m:e>
            <m:sub>
              <m:r>
                <w:rPr>
                  <w:rFonts w:ascii="Cambria Math" w:hAnsi="Cambria Math"/>
                  <w:sz w:val="22"/>
                  <w:szCs w:val="22"/>
                  <w:lang w:eastAsia="ja-JP"/>
                </w:rPr>
                <m:t>q</m:t>
              </m:r>
            </m:sub>
          </m:sSub>
          <m:d>
            <m:dPr>
              <m:ctrlPr>
                <w:rPr>
                  <w:rFonts w:ascii="Cambria Math" w:hAnsi="Cambria Math"/>
                  <w:i/>
                  <w:sz w:val="22"/>
                  <w:szCs w:val="22"/>
                  <w:lang w:eastAsia="ja-JP"/>
                </w:rPr>
              </m:ctrlPr>
            </m:dPr>
            <m:e>
              <m:r>
                <w:rPr>
                  <w:rFonts w:ascii="Cambria Math" w:hAnsi="Cambria Math"/>
                  <w:sz w:val="22"/>
                  <w:szCs w:val="22"/>
                  <w:lang w:eastAsia="ja-JP"/>
                </w:rPr>
                <m:t xml:space="preserve">2n Mod </m:t>
              </m:r>
              <m:sSubSup>
                <m:sSubSupPr>
                  <m:ctrlPr>
                    <w:rPr>
                      <w:rFonts w:ascii="Cambria Math" w:hAnsi="Cambria Math"/>
                      <w:i/>
                      <w:sz w:val="22"/>
                      <w:szCs w:val="22"/>
                      <w:lang w:eastAsia="ja-JP"/>
                    </w:rPr>
                  </m:ctrlPr>
                </m:sSubSupPr>
                <m:e>
                  <m:r>
                    <w:rPr>
                      <w:rFonts w:ascii="Cambria Math" w:hAnsi="Cambria Math"/>
                      <w:sz w:val="22"/>
                      <w:szCs w:val="22"/>
                      <w:lang w:eastAsia="ja-JP"/>
                    </w:rPr>
                    <m:t>N</m:t>
                  </m:r>
                </m:e>
                <m:sub>
                  <m:r>
                    <w:rPr>
                      <w:rFonts w:ascii="Cambria Math" w:hAnsi="Cambria Math"/>
                      <w:sz w:val="22"/>
                      <w:szCs w:val="22"/>
                      <w:lang w:eastAsia="ja-JP"/>
                    </w:rPr>
                    <m:t>ZC</m:t>
                  </m:r>
                </m:sub>
                <m:sup>
                  <m:r>
                    <w:rPr>
                      <w:rFonts w:ascii="Cambria Math" w:hAnsi="Cambria Math"/>
                      <w:sz w:val="22"/>
                      <w:szCs w:val="22"/>
                      <w:lang w:eastAsia="ja-JP"/>
                    </w:rPr>
                    <m:t>RS</m:t>
                  </m:r>
                </m:sup>
              </m:sSubSup>
            </m:e>
          </m:d>
          <m:r>
            <w:rPr>
              <w:rFonts w:ascii="Cambria Math" w:hAnsi="Cambria Math"/>
              <w:sz w:val="22"/>
              <w:szCs w:val="22"/>
              <w:lang w:eastAsia="ja-JP"/>
            </w:rPr>
            <m:t>,   0≤n&lt;</m:t>
          </m:r>
          <m:sSubSup>
            <m:sSubSupPr>
              <m:ctrlPr>
                <w:rPr>
                  <w:rFonts w:ascii="Cambria Math" w:hAnsi="Cambria Math"/>
                  <w:i/>
                  <w:sz w:val="22"/>
                  <w:szCs w:val="22"/>
                  <w:lang w:eastAsia="ja-JP"/>
                </w:rPr>
              </m:ctrlPr>
            </m:sSubSupPr>
            <m:e>
              <m:r>
                <w:rPr>
                  <w:rFonts w:ascii="Cambria Math" w:hAnsi="Cambria Math"/>
                  <w:sz w:val="22"/>
                  <w:szCs w:val="22"/>
                  <w:lang w:eastAsia="ja-JP"/>
                </w:rPr>
                <m:t>M</m:t>
              </m:r>
            </m:e>
            <m:sub>
              <m:r>
                <w:rPr>
                  <w:rFonts w:ascii="Cambria Math" w:hAnsi="Cambria Math"/>
                  <w:sz w:val="22"/>
                  <w:szCs w:val="22"/>
                  <w:lang w:eastAsia="ja-JP"/>
                </w:rPr>
                <m:t>sc</m:t>
              </m:r>
            </m:sub>
            <m:sup>
              <m:r>
                <w:rPr>
                  <w:rFonts w:ascii="Cambria Math" w:hAnsi="Cambria Math"/>
                  <w:sz w:val="22"/>
                  <w:szCs w:val="22"/>
                  <w:lang w:eastAsia="ja-JP"/>
                </w:rPr>
                <m:t>RS</m:t>
              </m:r>
            </m:sup>
          </m:sSubSup>
        </m:oMath>
      </m:oMathPara>
    </w:p>
    <w:p w:rsidR="00571CB6" w:rsidRDefault="00571CB6" w:rsidP="00571CB6">
      <w:pPr>
        <w:rPr>
          <w:b/>
          <w:i/>
          <w:sz w:val="22"/>
          <w:szCs w:val="22"/>
        </w:rPr>
      </w:pPr>
      <w:r>
        <w:rPr>
          <w:b/>
          <w:i/>
          <w:sz w:val="22"/>
          <w:szCs w:val="22"/>
        </w:rPr>
        <w:t>Proposal 2</w:t>
      </w:r>
      <w:r w:rsidRPr="00880037">
        <w:rPr>
          <w:b/>
          <w:i/>
          <w:sz w:val="22"/>
          <w:szCs w:val="22"/>
        </w:rPr>
        <w:t>:</w:t>
      </w:r>
      <w:r>
        <w:rPr>
          <w:b/>
          <w:i/>
          <w:sz w:val="22"/>
          <w:szCs w:val="22"/>
        </w:rPr>
        <w:t xml:space="preserve"> RAN1 shall clarify whether the configuration of RPF = 2 and 4 can be different for each SRS configuration and the necessity for specification enhancements on SRS power control.</w:t>
      </w:r>
    </w:p>
    <w:p w:rsidR="00A32A44" w:rsidRDefault="00A32A44" w:rsidP="00A32A44">
      <w:pPr>
        <w:rPr>
          <w:b/>
          <w:i/>
          <w:sz w:val="22"/>
          <w:szCs w:val="22"/>
        </w:rPr>
      </w:pPr>
      <w:r>
        <w:rPr>
          <w:b/>
          <w:i/>
          <w:sz w:val="22"/>
          <w:szCs w:val="22"/>
        </w:rPr>
        <w:t>Proposal 2</w:t>
      </w:r>
      <w:r w:rsidRPr="00880037">
        <w:rPr>
          <w:b/>
          <w:i/>
          <w:sz w:val="22"/>
          <w:szCs w:val="22"/>
        </w:rPr>
        <w:t>:</w:t>
      </w:r>
      <w:r w:rsidR="0025168E">
        <w:rPr>
          <w:b/>
          <w:i/>
          <w:sz w:val="22"/>
          <w:szCs w:val="22"/>
        </w:rPr>
        <w:t xml:space="preserve"> For 4-port</w:t>
      </w:r>
      <w:r>
        <w:rPr>
          <w:b/>
          <w:i/>
          <w:sz w:val="22"/>
          <w:szCs w:val="22"/>
        </w:rPr>
        <w:t xml:space="preserve"> SRS with RPF = 4, the transmission comb values per antenna port is</w:t>
      </w:r>
      <w:r w:rsidRPr="00A32A44">
        <w:rPr>
          <w:b/>
          <w:i/>
          <w:sz w:val="22"/>
          <w:szCs w:val="22"/>
        </w:rPr>
        <w:t xml:space="preserve"> either </w:t>
      </w:r>
      <m:oMath>
        <m:sSub>
          <m:sSubPr>
            <m:ctrlPr>
              <w:rPr>
                <w:rFonts w:ascii="Cambria Math" w:hAnsi="Cambria Math"/>
                <w:b/>
                <w:i/>
                <w:sz w:val="22"/>
                <w:szCs w:val="22"/>
              </w:rPr>
            </m:ctrlPr>
          </m:sSubPr>
          <m:e>
            <m:r>
              <m:rPr>
                <m:sty m:val="bi"/>
              </m:rPr>
              <w:rPr>
                <w:rFonts w:ascii="Cambria Math" w:hAnsi="Cambria Math"/>
                <w:sz w:val="22"/>
                <w:szCs w:val="22"/>
              </w:rPr>
              <m:t>K</m:t>
            </m:r>
          </m:e>
          <m:sub>
            <m:r>
              <m:rPr>
                <m:sty m:val="bi"/>
              </m:rPr>
              <w:rPr>
                <w:rFonts w:ascii="Cambria Math" w:hAnsi="Cambria Math"/>
                <w:sz w:val="22"/>
                <w:szCs w:val="22"/>
              </w:rPr>
              <m:t>TC</m:t>
            </m:r>
          </m:sub>
        </m:sSub>
      </m:oMath>
      <w:r w:rsidRPr="00A32A44">
        <w:rPr>
          <w:b/>
          <w:i/>
          <w:sz w:val="22"/>
          <w:szCs w:val="22"/>
        </w:rPr>
        <w:t xml:space="preserve"> or </w:t>
      </w:r>
      <m:oMath>
        <m:r>
          <m:rPr>
            <m:sty m:val="bi"/>
          </m:rPr>
          <w:rPr>
            <w:rFonts w:ascii="Cambria Math" w:hAnsi="Cambria Math"/>
            <w:sz w:val="22"/>
            <w:szCs w:val="22"/>
          </w:rPr>
          <m:t>mod(</m:t>
        </m:r>
        <m:sSub>
          <m:sSubPr>
            <m:ctrlPr>
              <w:rPr>
                <w:rFonts w:ascii="Cambria Math" w:hAnsi="Cambria Math"/>
                <w:b/>
                <w:i/>
                <w:sz w:val="22"/>
                <w:szCs w:val="22"/>
              </w:rPr>
            </m:ctrlPr>
          </m:sSubPr>
          <m:e>
            <m:r>
              <m:rPr>
                <m:sty m:val="bi"/>
              </m:rPr>
              <w:rPr>
                <w:rFonts w:ascii="Cambria Math" w:hAnsi="Cambria Math"/>
                <w:sz w:val="22"/>
                <w:szCs w:val="22"/>
              </w:rPr>
              <m:t>K</m:t>
            </m:r>
          </m:e>
          <m:sub>
            <m:r>
              <m:rPr>
                <m:sty m:val="bi"/>
              </m:rPr>
              <w:rPr>
                <w:rFonts w:ascii="Cambria Math" w:hAnsi="Cambria Math"/>
                <w:sz w:val="22"/>
                <w:szCs w:val="22"/>
              </w:rPr>
              <m:t>TC</m:t>
            </m:r>
          </m:sub>
        </m:sSub>
        <m:r>
          <m:rPr>
            <m:sty m:val="bi"/>
          </m:rPr>
          <w:rPr>
            <w:rFonts w:ascii="Cambria Math" w:hAnsi="Cambria Math"/>
            <w:sz w:val="22"/>
            <w:szCs w:val="22"/>
          </w:rPr>
          <m:t>+2, 4)</m:t>
        </m:r>
      </m:oMath>
      <w:r w:rsidRPr="00A32A44">
        <w:rPr>
          <w:b/>
          <w:i/>
          <w:sz w:val="22"/>
          <w:szCs w:val="22"/>
        </w:rPr>
        <w:t xml:space="preserve"> where </w:t>
      </w:r>
      <m:oMath>
        <m:sSub>
          <m:sSubPr>
            <m:ctrlPr>
              <w:rPr>
                <w:rFonts w:ascii="Cambria Math" w:hAnsi="Cambria Math"/>
                <w:b/>
                <w:i/>
                <w:sz w:val="22"/>
                <w:szCs w:val="22"/>
              </w:rPr>
            </m:ctrlPr>
          </m:sSubPr>
          <m:e>
            <m:r>
              <m:rPr>
                <m:sty m:val="bi"/>
              </m:rPr>
              <w:rPr>
                <w:rFonts w:ascii="Cambria Math" w:hAnsi="Cambria Math"/>
                <w:sz w:val="22"/>
                <w:szCs w:val="22"/>
              </w:rPr>
              <m:t>K</m:t>
            </m:r>
          </m:e>
          <m:sub>
            <m:r>
              <m:rPr>
                <m:sty m:val="bi"/>
              </m:rPr>
              <w:rPr>
                <w:rFonts w:ascii="Cambria Math" w:hAnsi="Cambria Math"/>
                <w:sz w:val="22"/>
                <w:szCs w:val="22"/>
              </w:rPr>
              <m:t>TC</m:t>
            </m:r>
          </m:sub>
        </m:sSub>
      </m:oMath>
      <w:r w:rsidRPr="00A32A44">
        <w:rPr>
          <w:b/>
          <w:i/>
          <w:sz w:val="22"/>
          <w:szCs w:val="22"/>
        </w:rPr>
        <w:t xml:space="preserve"> is </w:t>
      </w:r>
      <w:r>
        <w:rPr>
          <w:b/>
          <w:i/>
          <w:sz w:val="22"/>
          <w:szCs w:val="22"/>
        </w:rPr>
        <w:t>a high layer</w:t>
      </w:r>
      <w:r w:rsidRPr="00A32A44">
        <w:rPr>
          <w:b/>
          <w:i/>
          <w:sz w:val="22"/>
          <w:szCs w:val="22"/>
        </w:rPr>
        <w:t xml:space="preserve"> configured </w:t>
      </w:r>
      <w:r>
        <w:rPr>
          <w:b/>
          <w:i/>
          <w:sz w:val="22"/>
          <w:szCs w:val="22"/>
        </w:rPr>
        <w:t>transmission comb.</w:t>
      </w:r>
    </w:p>
    <w:p w:rsidR="000C0F2F" w:rsidRDefault="000C0F2F" w:rsidP="000C0F2F">
      <w:pPr>
        <w:pStyle w:val="Heading1"/>
        <w:ind w:left="720" w:hanging="720"/>
        <w:jc w:val="both"/>
      </w:pPr>
      <w:r>
        <w:t>4</w:t>
      </w:r>
      <w:r>
        <w:tab/>
        <w:t>Reference</w:t>
      </w:r>
    </w:p>
    <w:p w:rsidR="000C0F2F" w:rsidRDefault="000C0F2F" w:rsidP="000C0F2F">
      <w:pPr>
        <w:numPr>
          <w:ilvl w:val="0"/>
          <w:numId w:val="2"/>
        </w:numPr>
        <w:overflowPunct/>
        <w:autoSpaceDE/>
        <w:autoSpaceDN/>
        <w:adjustRightInd/>
        <w:spacing w:after="100" w:afterAutospacing="1"/>
        <w:textAlignment w:val="auto"/>
        <w:rPr>
          <w:rFonts w:cs="Arial"/>
          <w:szCs w:val="22"/>
          <w:lang w:eastAsia="zh-CN"/>
        </w:rPr>
      </w:pPr>
      <w:r w:rsidRPr="006B0CE0">
        <w:rPr>
          <w:rFonts w:cs="Arial"/>
          <w:szCs w:val="22"/>
          <w:lang w:eastAsia="zh-CN"/>
        </w:rPr>
        <w:t>3GPP RAN1 #</w:t>
      </w:r>
      <w:r>
        <w:rPr>
          <w:rFonts w:cs="Arial"/>
          <w:szCs w:val="22"/>
          <w:lang w:eastAsia="zh-CN"/>
        </w:rPr>
        <w:t>82</w:t>
      </w:r>
      <w:r w:rsidR="00DC5DBA">
        <w:rPr>
          <w:rFonts w:cs="Arial"/>
          <w:szCs w:val="22"/>
          <w:lang w:eastAsia="zh-CN"/>
        </w:rPr>
        <w:t>bis</w:t>
      </w:r>
      <w:r w:rsidRPr="006B0CE0">
        <w:rPr>
          <w:rFonts w:cs="Arial"/>
          <w:szCs w:val="22"/>
          <w:lang w:eastAsia="zh-CN"/>
        </w:rPr>
        <w:t xml:space="preserve"> Chairman’s</w:t>
      </w:r>
      <w:r>
        <w:rPr>
          <w:rFonts w:cs="Arial"/>
          <w:szCs w:val="22"/>
          <w:lang w:eastAsia="zh-CN"/>
        </w:rPr>
        <w:t xml:space="preserve"> notes</w:t>
      </w:r>
    </w:p>
    <w:p w:rsidR="006D50C5" w:rsidRPr="00F81372" w:rsidRDefault="00DC5DBA" w:rsidP="00C41105">
      <w:pPr>
        <w:numPr>
          <w:ilvl w:val="0"/>
          <w:numId w:val="2"/>
        </w:numPr>
        <w:overflowPunct/>
        <w:autoSpaceDE/>
        <w:autoSpaceDN/>
        <w:adjustRightInd/>
        <w:spacing w:after="100" w:afterAutospacing="1"/>
        <w:textAlignment w:val="auto"/>
        <w:rPr>
          <w:rFonts w:cs="Arial"/>
          <w:szCs w:val="22"/>
          <w:lang w:eastAsia="zh-CN"/>
        </w:rPr>
      </w:pPr>
      <w:r w:rsidRPr="00A32A44">
        <w:rPr>
          <w:rFonts w:cs="Arial"/>
          <w:szCs w:val="22"/>
          <w:lang w:eastAsia="zh-CN"/>
        </w:rPr>
        <w:t xml:space="preserve">R1-156295, “Proposal for sequence index for RPF = 4”, Huawei, </w:t>
      </w:r>
      <w:proofErr w:type="spellStart"/>
      <w:r w:rsidRPr="00A32A44">
        <w:rPr>
          <w:rFonts w:cs="Arial"/>
          <w:szCs w:val="22"/>
          <w:lang w:eastAsia="zh-CN"/>
        </w:rPr>
        <w:t>HiSilicon</w:t>
      </w:r>
      <w:proofErr w:type="spellEnd"/>
    </w:p>
    <w:sectPr w:rsidR="006D50C5" w:rsidRPr="00F81372" w:rsidSect="00F70E6E">
      <w:headerReference w:type="even" r:id="rId12"/>
      <w:foot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40D5" w:rsidRDefault="008440D5">
      <w:pPr>
        <w:spacing w:after="0"/>
      </w:pPr>
      <w:r>
        <w:separator/>
      </w:r>
    </w:p>
  </w:endnote>
  <w:endnote w:type="continuationSeparator" w:id="0">
    <w:p w:rsidR="008440D5" w:rsidRDefault="00844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E6E" w:rsidRDefault="00F70E6E" w:rsidP="00F70E6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70E6E" w:rsidRDefault="00F70E6E" w:rsidP="00F70E6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E6E" w:rsidRDefault="00F70E6E" w:rsidP="00F70E6E">
    <w:pPr>
      <w:pStyle w:val="Footer"/>
      <w:ind w:right="360"/>
    </w:pPr>
    <w:r>
      <w:rPr>
        <w:rStyle w:val="PageNumber"/>
      </w:rPr>
      <w:fldChar w:fldCharType="begin"/>
    </w:r>
    <w:r>
      <w:rPr>
        <w:rStyle w:val="PageNumber"/>
      </w:rPr>
      <w:instrText xml:space="preserve"> PAGE </w:instrText>
    </w:r>
    <w:r>
      <w:rPr>
        <w:rStyle w:val="PageNumber"/>
      </w:rPr>
      <w:fldChar w:fldCharType="separate"/>
    </w:r>
    <w:r w:rsidR="0025168E">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168E">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40D5" w:rsidRDefault="008440D5">
      <w:pPr>
        <w:spacing w:after="0"/>
      </w:pPr>
      <w:r>
        <w:separator/>
      </w:r>
    </w:p>
  </w:footnote>
  <w:footnote w:type="continuationSeparator" w:id="0">
    <w:p w:rsidR="008440D5" w:rsidRDefault="008440D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E6E" w:rsidRDefault="00F70E6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C5D6C"/>
    <w:multiLevelType w:val="hybridMultilevel"/>
    <w:tmpl w:val="1B8AD45A"/>
    <w:lvl w:ilvl="0" w:tplc="F774E844">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26EE274D"/>
    <w:multiLevelType w:val="hybridMultilevel"/>
    <w:tmpl w:val="D4BA85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BE63308"/>
    <w:multiLevelType w:val="hybridMultilevel"/>
    <w:tmpl w:val="82626CBE"/>
    <w:lvl w:ilvl="0" w:tplc="1416E6B6">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F2F"/>
    <w:rsid w:val="00040F9F"/>
    <w:rsid w:val="000709F9"/>
    <w:rsid w:val="000B664E"/>
    <w:rsid w:val="000C0F2F"/>
    <w:rsid w:val="000F4214"/>
    <w:rsid w:val="00155092"/>
    <w:rsid w:val="001A72DD"/>
    <w:rsid w:val="001D4961"/>
    <w:rsid w:val="0021725F"/>
    <w:rsid w:val="0025168E"/>
    <w:rsid w:val="00254F7F"/>
    <w:rsid w:val="002712B5"/>
    <w:rsid w:val="00281957"/>
    <w:rsid w:val="002E0E20"/>
    <w:rsid w:val="0030389A"/>
    <w:rsid w:val="00324E83"/>
    <w:rsid w:val="003364AC"/>
    <w:rsid w:val="0035173D"/>
    <w:rsid w:val="003D1BF7"/>
    <w:rsid w:val="003D56D5"/>
    <w:rsid w:val="0044687D"/>
    <w:rsid w:val="00475E1E"/>
    <w:rsid w:val="004955AA"/>
    <w:rsid w:val="00496211"/>
    <w:rsid w:val="004A2B14"/>
    <w:rsid w:val="004D302D"/>
    <w:rsid w:val="004F1F0E"/>
    <w:rsid w:val="00571CB6"/>
    <w:rsid w:val="005A3CBA"/>
    <w:rsid w:val="005B7D5E"/>
    <w:rsid w:val="005D6E80"/>
    <w:rsid w:val="00612F74"/>
    <w:rsid w:val="006653E4"/>
    <w:rsid w:val="00682F41"/>
    <w:rsid w:val="006A3887"/>
    <w:rsid w:val="006B0D46"/>
    <w:rsid w:val="006D50C5"/>
    <w:rsid w:val="007230E5"/>
    <w:rsid w:val="007607BA"/>
    <w:rsid w:val="00763C95"/>
    <w:rsid w:val="007A5A21"/>
    <w:rsid w:val="00822F72"/>
    <w:rsid w:val="0082532D"/>
    <w:rsid w:val="00843404"/>
    <w:rsid w:val="008440D5"/>
    <w:rsid w:val="00882C6A"/>
    <w:rsid w:val="008C1EFA"/>
    <w:rsid w:val="00915774"/>
    <w:rsid w:val="00920E46"/>
    <w:rsid w:val="0096302E"/>
    <w:rsid w:val="009B4446"/>
    <w:rsid w:val="009B5ED4"/>
    <w:rsid w:val="009E5B50"/>
    <w:rsid w:val="00A32A44"/>
    <w:rsid w:val="00A50649"/>
    <w:rsid w:val="00A65B8E"/>
    <w:rsid w:val="00A71049"/>
    <w:rsid w:val="00A90D2B"/>
    <w:rsid w:val="00AB51D3"/>
    <w:rsid w:val="00AC7120"/>
    <w:rsid w:val="00B72CE6"/>
    <w:rsid w:val="00BB670A"/>
    <w:rsid w:val="00BC3EC6"/>
    <w:rsid w:val="00C03398"/>
    <w:rsid w:val="00C43441"/>
    <w:rsid w:val="00C54B3F"/>
    <w:rsid w:val="00C754B3"/>
    <w:rsid w:val="00CA0CB0"/>
    <w:rsid w:val="00D5255A"/>
    <w:rsid w:val="00D7007D"/>
    <w:rsid w:val="00D878E9"/>
    <w:rsid w:val="00DC5DBA"/>
    <w:rsid w:val="00E031DF"/>
    <w:rsid w:val="00E55F07"/>
    <w:rsid w:val="00E66EE0"/>
    <w:rsid w:val="00EA7F64"/>
    <w:rsid w:val="00EB627A"/>
    <w:rsid w:val="00ED1EA1"/>
    <w:rsid w:val="00ED6531"/>
    <w:rsid w:val="00F70E6E"/>
    <w:rsid w:val="00F744B8"/>
    <w:rsid w:val="00F775A8"/>
    <w:rsid w:val="00F813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iscardImageEditingData/>
  <w14:defaultImageDpi w14:val="150"/>
  <w15:chartTrackingRefBased/>
  <w15:docId w15:val="{B81264B1-C8C7-494D-B2AD-37B2C44C9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0F2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uiPriority w:val="9"/>
    <w:qFormat/>
    <w:rsid w:val="000C0F2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0C0F2F"/>
    <w:pPr>
      <w:keepNext/>
      <w:spacing w:before="240" w:after="60"/>
      <w:outlineLvl w:val="1"/>
    </w:pPr>
    <w:rPr>
      <w:rFonts w:ascii="Calibri Light"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0C0F2F"/>
    <w:rPr>
      <w:rFonts w:asciiTheme="majorHAnsi" w:eastAsiaTheme="majorEastAsia" w:hAnsiTheme="majorHAnsi" w:cstheme="majorBidi"/>
      <w:color w:val="2E74B5" w:themeColor="accent1" w:themeShade="BF"/>
      <w:sz w:val="32"/>
      <w:szCs w:val="32"/>
      <w:lang w:val="en-GB" w:eastAsia="en-US"/>
    </w:rPr>
  </w:style>
  <w:style w:type="character" w:customStyle="1" w:styleId="Heading2Char">
    <w:name w:val="Heading 2 Char"/>
    <w:basedOn w:val="DefaultParagraphFont"/>
    <w:link w:val="Heading2"/>
    <w:uiPriority w:val="9"/>
    <w:rsid w:val="000C0F2F"/>
    <w:rPr>
      <w:rFonts w:ascii="Calibri Light" w:eastAsia="SimSun" w:hAnsi="Calibri Light" w:cs="Times New Roman"/>
      <w:b/>
      <w:bCs/>
      <w:i/>
      <w:iCs/>
      <w:sz w:val="28"/>
      <w:szCs w:val="2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C0F2F"/>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C0F2F"/>
    <w:rPr>
      <w:rFonts w:ascii="Arial" w:eastAsia="SimSun" w:hAnsi="Arial" w:cs="Times New Roman"/>
      <w:b/>
      <w:noProof/>
      <w:sz w:val="18"/>
      <w:szCs w:val="20"/>
      <w:lang w:eastAsia="en-US"/>
    </w:rPr>
  </w:style>
  <w:style w:type="paragraph" w:styleId="Footer">
    <w:name w:val="footer"/>
    <w:basedOn w:val="Header"/>
    <w:link w:val="FooterChar"/>
    <w:rsid w:val="000C0F2F"/>
    <w:pPr>
      <w:jc w:val="center"/>
    </w:pPr>
    <w:rPr>
      <w:i/>
    </w:rPr>
  </w:style>
  <w:style w:type="character" w:customStyle="1" w:styleId="FooterChar">
    <w:name w:val="Footer Char"/>
    <w:basedOn w:val="DefaultParagraphFont"/>
    <w:link w:val="Footer"/>
    <w:rsid w:val="000C0F2F"/>
    <w:rPr>
      <w:rFonts w:ascii="Arial" w:eastAsia="SimSun" w:hAnsi="Arial" w:cs="Times New Roman"/>
      <w:b/>
      <w:i/>
      <w:noProof/>
      <w:sz w:val="18"/>
      <w:szCs w:val="20"/>
      <w:lang w:eastAsia="en-US"/>
    </w:rPr>
  </w:style>
  <w:style w:type="character" w:styleId="PageNumber">
    <w:name w:val="page number"/>
    <w:basedOn w:val="DefaultParagraphFont"/>
    <w:rsid w:val="000C0F2F"/>
  </w:style>
  <w:style w:type="character" w:customStyle="1" w:styleId="Heading1Char1">
    <w:name w:val="Heading 1 Char1"/>
    <w:link w:val="Heading1"/>
    <w:uiPriority w:val="9"/>
    <w:rsid w:val="000C0F2F"/>
    <w:rPr>
      <w:rFonts w:ascii="Arial" w:eastAsia="SimSun" w:hAnsi="Arial" w:cs="Times New Roman"/>
      <w:sz w:val="36"/>
      <w:szCs w:val="20"/>
      <w:lang w:val="en-GB" w:eastAsia="en-US"/>
    </w:rPr>
  </w:style>
  <w:style w:type="paragraph" w:customStyle="1" w:styleId="LGTdoc">
    <w:name w:val="LGTdoc_본문"/>
    <w:basedOn w:val="Normal"/>
    <w:rsid w:val="000C0F2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B1">
    <w:name w:val="B1"/>
    <w:basedOn w:val="List"/>
    <w:rsid w:val="000C0F2F"/>
    <w:pPr>
      <w:overflowPunct/>
      <w:autoSpaceDE/>
      <w:autoSpaceDN/>
      <w:adjustRightInd/>
      <w:ind w:left="568" w:hanging="284"/>
      <w:contextualSpacing w:val="0"/>
      <w:textAlignment w:val="auto"/>
    </w:pPr>
    <w:rPr>
      <w:rFonts w:eastAsia="Malgun Gothic"/>
    </w:rPr>
  </w:style>
  <w:style w:type="paragraph" w:styleId="List">
    <w:name w:val="List"/>
    <w:basedOn w:val="Normal"/>
    <w:uiPriority w:val="99"/>
    <w:semiHidden/>
    <w:unhideWhenUsed/>
    <w:rsid w:val="000C0F2F"/>
    <w:pPr>
      <w:ind w:left="360" w:hanging="360"/>
      <w:contextualSpacing/>
    </w:pPr>
  </w:style>
  <w:style w:type="paragraph" w:styleId="NormalWeb">
    <w:name w:val="Normal (Web)"/>
    <w:basedOn w:val="Normal"/>
    <w:uiPriority w:val="99"/>
    <w:semiHidden/>
    <w:unhideWhenUsed/>
    <w:rsid w:val="000C0F2F"/>
    <w:pPr>
      <w:overflowPunct/>
      <w:autoSpaceDE/>
      <w:autoSpaceDN/>
      <w:adjustRightInd/>
      <w:spacing w:before="100" w:beforeAutospacing="1" w:after="100" w:afterAutospacing="1"/>
      <w:textAlignment w:val="auto"/>
    </w:pPr>
    <w:rPr>
      <w:rFonts w:eastAsiaTheme="minorEastAsia"/>
      <w:sz w:val="24"/>
      <w:szCs w:val="24"/>
      <w:lang w:val="en-US" w:eastAsia="zh-CN"/>
    </w:rPr>
  </w:style>
  <w:style w:type="character" w:styleId="PlaceholderText">
    <w:name w:val="Placeholder Text"/>
    <w:basedOn w:val="DefaultParagraphFont"/>
    <w:uiPriority w:val="99"/>
    <w:semiHidden/>
    <w:rsid w:val="00F744B8"/>
    <w:rPr>
      <w:color w:val="808080"/>
    </w:rPr>
  </w:style>
  <w:style w:type="paragraph" w:styleId="BalloonText">
    <w:name w:val="Balloon Text"/>
    <w:basedOn w:val="Normal"/>
    <w:link w:val="BalloonTextChar"/>
    <w:uiPriority w:val="99"/>
    <w:semiHidden/>
    <w:unhideWhenUsed/>
    <w:rsid w:val="002712B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12B5"/>
    <w:rPr>
      <w:rFonts w:ascii="Segoe UI" w:eastAsia="SimSun"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DA6DA-BD99-4489-B6DB-87AA77A42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4</Pages>
  <Words>1414</Words>
  <Characters>8062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9458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 Bo (Corp R&amp;D)</dc:creator>
  <cp:keywords/>
  <dc:description/>
  <cp:lastModifiedBy>Gaal, Peter</cp:lastModifiedBy>
  <cp:revision>7</cp:revision>
  <dcterms:created xsi:type="dcterms:W3CDTF">2015-11-06T13:36:00Z</dcterms:created>
  <dcterms:modified xsi:type="dcterms:W3CDTF">2015-11-07T03:21:00Z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141148820</vt:i4>
  </property>
  <property fmtid="{D5CDD505-2E9C-101B-9397-08002B2CF9AE}" pid="3" name="_NewReviewCycle">
    <vt:lpwstr/>
  </property>
  <property fmtid="{D5CDD505-2E9C-101B-9397-08002B2CF9AE}" pid="4" name="_EmailSubject">
    <vt:lpwstr>draft contribution for SRS sequence</vt:lpwstr>
  </property>
  <property fmtid="{D5CDD505-2E9C-101B-9397-08002B2CF9AE}" pid="5" name="_AuthorEmail">
    <vt:lpwstr>guodong@qti.qualcomm.com</vt:lpwstr>
  </property>
  <property fmtid="{D5CDD505-2E9C-101B-9397-08002B2CF9AE}" pid="6" name="_AuthorEmailDisplayName">
    <vt:lpwstr>Li, Guodong</vt:lpwstr>
  </property>
  <property fmtid="{D5CDD505-2E9C-101B-9397-08002B2CF9AE}" pid="7" name="_PreviousAdHocReviewCycleID">
    <vt:i4>-2036989251</vt:i4>
  </property>
  <property fmtid="{D5CDD505-2E9C-101B-9397-08002B2CF9AE}" pid="8" name="_ReviewingToolsShownOnce">
    <vt:lpwstr/>
  </property>
</Properties>
</file>